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3" w:rsidRDefault="00AB74E6" w:rsidP="00A9744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953125" cy="79057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90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4E6" w:rsidRPr="00AB74E6" w:rsidRDefault="00EC6487" w:rsidP="00AB74E6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TERMS OF REFERENCE</w:t>
                            </w:r>
                          </w:p>
                          <w:p w:rsidR="00AB74E6" w:rsidRPr="00AB74E6" w:rsidRDefault="005A31CB" w:rsidP="00E21749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EVENTS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6" style="width:468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" fillcolor="#622423 [1605]" strokecolor="#622423 [1605]" strokeweight="2pt">
                <v:textbox>
                  <w:txbxContent>
                    <w:p w:rsidR="00AB74E6" w:rsidRPr="00AB74E6" w:rsidRDefault="00EC6487" w:rsidP="00AB74E6">
                      <w:pPr>
                        <w:jc w:val="center"/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TERMS OF REFERENCE</w:t>
                      </w:r>
                    </w:p>
                    <w:p w:rsidR="00AB74E6" w:rsidRPr="00AB74E6" w:rsidRDefault="005A31CB" w:rsidP="00E21749">
                      <w:pPr>
                        <w:jc w:val="center"/>
                        <w:rPr>
                          <w:b/>
                          <w:color w:val="FDE9D9" w:themeColor="accent6" w:themeTint="33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EVENTS MANAGEMENT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pStyle w:val="ListParagraph"/>
        <w:numPr>
          <w:ilvl w:val="0"/>
          <w:numId w:val="1"/>
        </w:numPr>
        <w:ind w:left="426" w:hanging="284"/>
        <w:rPr>
          <w:rFonts w:ascii="Arial Narrow" w:hAnsi="Arial Narrow"/>
        </w:rPr>
        <w:sectPr w:rsidR="00A97443" w:rsidRPr="005E776C" w:rsidSect="00A97443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A97443" w:rsidRDefault="00A97443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lastRenderedPageBreak/>
        <w:t>BANK OF PAPUA NEW GUINEA</w:t>
      </w:r>
    </w:p>
    <w:p w:rsidR="000709C0" w:rsidRDefault="000709C0" w:rsidP="000709C0">
      <w:pPr>
        <w:ind w:left="426"/>
        <w:rPr>
          <w:rFonts w:ascii="Arial Narrow" w:hAnsi="Arial Narrow"/>
          <w:b/>
          <w:color w:val="632423" w:themeColor="accent2" w:themeShade="80"/>
        </w:rPr>
      </w:pPr>
    </w:p>
    <w:p w:rsidR="000709C0" w:rsidRDefault="00DF3C83" w:rsidP="001D664F">
      <w:pPr>
        <w:ind w:left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Bank of Papua New Guinea seeks the service </w:t>
      </w:r>
      <w:r w:rsidR="009A61CA">
        <w:rPr>
          <w:rFonts w:ascii="Arial Narrow" w:hAnsi="Arial Narrow"/>
        </w:rPr>
        <w:t>of an event</w:t>
      </w:r>
      <w:r>
        <w:rPr>
          <w:rFonts w:ascii="Arial Narrow" w:hAnsi="Arial Narrow"/>
        </w:rPr>
        <w:t xml:space="preserve"> Management </w:t>
      </w:r>
      <w:r w:rsidR="00E318D2">
        <w:rPr>
          <w:rFonts w:ascii="Arial Narrow" w:hAnsi="Arial Narrow"/>
        </w:rPr>
        <w:t>Company to successfull</w:t>
      </w:r>
      <w:r w:rsidR="00DC0004">
        <w:rPr>
          <w:rFonts w:ascii="Arial Narrow" w:hAnsi="Arial Narrow"/>
        </w:rPr>
        <w:t>y manage the Bank events with professionalism.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Default="00FE40D0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>
        <w:rPr>
          <w:rFonts w:ascii="Arial Narrow" w:hAnsi="Arial Narrow"/>
          <w:b/>
          <w:color w:val="632423" w:themeColor="accent2" w:themeShade="80"/>
        </w:rPr>
        <w:t>PURPOSE</w:t>
      </w:r>
    </w:p>
    <w:p w:rsid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Default="00A13B96" w:rsidP="0001234D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The successful events Management Company</w:t>
      </w:r>
      <w:r w:rsidR="002714D7">
        <w:rPr>
          <w:rFonts w:ascii="Arial Narrow" w:hAnsi="Arial Narrow"/>
        </w:rPr>
        <w:t xml:space="preserve"> will</w:t>
      </w:r>
      <w:r w:rsidR="001D664F">
        <w:rPr>
          <w:rFonts w:ascii="Arial Narrow" w:hAnsi="Arial Narrow"/>
        </w:rPr>
        <w:t xml:space="preserve"> ha</w:t>
      </w:r>
      <w:r w:rsidR="0001234D">
        <w:rPr>
          <w:rFonts w:ascii="Arial Narrow" w:hAnsi="Arial Narrow"/>
        </w:rPr>
        <w:t>ve the responsibility for Event</w:t>
      </w:r>
      <w:r w:rsidR="001D664F">
        <w:rPr>
          <w:rFonts w:ascii="Arial Narrow" w:hAnsi="Arial Narrow"/>
        </w:rPr>
        <w:t xml:space="preserve"> Planning, budgeting, </w:t>
      </w:r>
      <w:r w:rsidR="002714D7">
        <w:rPr>
          <w:rFonts w:ascii="Arial Narrow" w:hAnsi="Arial Narrow"/>
        </w:rPr>
        <w:t xml:space="preserve">and management of </w:t>
      </w:r>
      <w:r w:rsidR="001D664F">
        <w:rPr>
          <w:rFonts w:ascii="Arial Narrow" w:hAnsi="Arial Narrow"/>
        </w:rPr>
        <w:t>Bank events as and when required.</w:t>
      </w:r>
    </w:p>
    <w:p w:rsidR="002714D7" w:rsidRDefault="002714D7" w:rsidP="001D664F">
      <w:pPr>
        <w:ind w:left="426"/>
        <w:jc w:val="both"/>
        <w:rPr>
          <w:rFonts w:ascii="Arial Narrow" w:hAnsi="Arial Narrow"/>
        </w:rPr>
      </w:pPr>
    </w:p>
    <w:p w:rsidR="002714D7" w:rsidRPr="000709C0" w:rsidRDefault="00A13B96" w:rsidP="0001234D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The events Management Company</w:t>
      </w:r>
      <w:r w:rsidR="002714D7">
        <w:rPr>
          <w:rFonts w:ascii="Arial Narrow" w:hAnsi="Arial Narrow"/>
        </w:rPr>
        <w:t xml:space="preserve"> will work closely with </w:t>
      </w:r>
      <w:r w:rsidR="00D71255">
        <w:rPr>
          <w:rFonts w:ascii="Arial Narrow" w:hAnsi="Arial Narrow"/>
        </w:rPr>
        <w:t xml:space="preserve">BPNG </w:t>
      </w:r>
      <w:r w:rsidR="0001234D">
        <w:rPr>
          <w:rFonts w:ascii="Arial Narrow" w:hAnsi="Arial Narrow"/>
        </w:rPr>
        <w:t>Events and Publication Unit</w:t>
      </w:r>
      <w:r w:rsidR="00C51D5A">
        <w:rPr>
          <w:rFonts w:ascii="Arial Narrow" w:hAnsi="Arial Narrow"/>
        </w:rPr>
        <w:t xml:space="preserve"> </w:t>
      </w:r>
      <w:r w:rsidR="00D04772">
        <w:rPr>
          <w:rFonts w:ascii="Arial Narrow" w:hAnsi="Arial Narrow"/>
        </w:rPr>
        <w:t xml:space="preserve">to identify and liaise with suitable service providers regarding respective logistical arrangements. 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9C3516" w:rsidRPr="00A30A96" w:rsidRDefault="00FE40D0" w:rsidP="00D00400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  <w:color w:val="632423" w:themeColor="accent2" w:themeShade="80"/>
        </w:rPr>
        <w:t>SCOPE OF WORK</w:t>
      </w:r>
    </w:p>
    <w:p w:rsidR="000709C0" w:rsidRDefault="000709C0" w:rsidP="000709C0">
      <w:pPr>
        <w:rPr>
          <w:rFonts w:ascii="Arial Narrow" w:hAnsi="Arial Narrow"/>
        </w:rPr>
      </w:pPr>
    </w:p>
    <w:p w:rsidR="000E4956" w:rsidRPr="000C1582" w:rsidRDefault="00D04772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0C1582">
        <w:rPr>
          <w:rFonts w:ascii="Arial Narrow" w:hAnsi="Arial Narrow"/>
          <w:b/>
          <w:color w:val="632423" w:themeColor="accent2" w:themeShade="80"/>
        </w:rPr>
        <w:t xml:space="preserve">Preparation and Management of the </w:t>
      </w:r>
      <w:r w:rsidR="00E31E1D">
        <w:rPr>
          <w:rFonts w:ascii="Arial Narrow" w:hAnsi="Arial Narrow"/>
          <w:b/>
          <w:color w:val="632423" w:themeColor="accent2" w:themeShade="80"/>
        </w:rPr>
        <w:t>E</w:t>
      </w:r>
      <w:r w:rsidRPr="000C1582">
        <w:rPr>
          <w:rFonts w:ascii="Arial Narrow" w:hAnsi="Arial Narrow"/>
          <w:b/>
          <w:color w:val="632423" w:themeColor="accent2" w:themeShade="80"/>
        </w:rPr>
        <w:t>vent</w:t>
      </w:r>
    </w:p>
    <w:p w:rsidR="00C51D5A" w:rsidRDefault="000C1582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Call for coordination of meetings.</w:t>
      </w:r>
    </w:p>
    <w:p w:rsidR="000C1582" w:rsidRDefault="000C1582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Provide regular update throughout the organization period.</w:t>
      </w:r>
    </w:p>
    <w:p w:rsidR="000C1582" w:rsidRDefault="000C1582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Prepare draft copy of the event program scenario.</w:t>
      </w:r>
      <w:bookmarkStart w:id="0" w:name="_GoBack"/>
      <w:bookmarkEnd w:id="0"/>
    </w:p>
    <w:p w:rsidR="000C1582" w:rsidRDefault="000C1582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Budgeting for the event.</w:t>
      </w:r>
    </w:p>
    <w:p w:rsidR="005458ED" w:rsidRDefault="005458ED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Monitor budget against disbursements</w:t>
      </w:r>
    </w:p>
    <w:p w:rsidR="005458ED" w:rsidRDefault="002253A7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Negotiate terms and conditions with suppliers</w:t>
      </w:r>
    </w:p>
    <w:p w:rsidR="00D04772" w:rsidRPr="002253A7" w:rsidRDefault="002253A7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 w:rsidRPr="002253A7">
        <w:rPr>
          <w:rFonts w:ascii="Arial Narrow" w:hAnsi="Arial Narrow"/>
        </w:rPr>
        <w:t>Ensure that all contacts and actions taken with suppliers are noted and communicated to the Events Committee for approval.</w:t>
      </w:r>
    </w:p>
    <w:p w:rsidR="005E2DEE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0E4956" w:rsidRPr="002253A7" w:rsidRDefault="002253A7" w:rsidP="006820AE">
      <w:pPr>
        <w:pStyle w:val="ListParagraph"/>
        <w:numPr>
          <w:ilvl w:val="1"/>
          <w:numId w:val="1"/>
        </w:numPr>
        <w:spacing w:before="240"/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2253A7">
        <w:rPr>
          <w:rFonts w:ascii="Arial Narrow" w:hAnsi="Arial Narrow"/>
          <w:b/>
          <w:color w:val="632423" w:themeColor="accent2" w:themeShade="80"/>
        </w:rPr>
        <w:t>Participants Management</w:t>
      </w:r>
    </w:p>
    <w:p w:rsidR="002253A7" w:rsidRDefault="002253A7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Establish with the Events Committee the list of participants.</w:t>
      </w:r>
    </w:p>
    <w:p w:rsidR="002253A7" w:rsidRDefault="00762936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Send invitations and information to participants.</w:t>
      </w:r>
    </w:p>
    <w:p w:rsidR="00E9101D" w:rsidRDefault="00E9101D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Follow up on invitations. </w:t>
      </w:r>
    </w:p>
    <w:p w:rsidR="00762936" w:rsidRDefault="00762936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Source partnerships and sponsors for the event; make follow up with interested parties.</w:t>
      </w:r>
    </w:p>
    <w:p w:rsidR="00762936" w:rsidRDefault="00762936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Administer registration of participants through designated medium.</w:t>
      </w:r>
    </w:p>
    <w:p w:rsidR="00762936" w:rsidRDefault="006E256E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Ensure protocols are agreed upon and respected before sending invitations.</w:t>
      </w:r>
    </w:p>
    <w:p w:rsidR="002A1AE6" w:rsidRDefault="002A1AE6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Where necessary, facilitate visa arrangements for participants.</w:t>
      </w:r>
    </w:p>
    <w:p w:rsidR="002A1AE6" w:rsidRDefault="002A1AE6" w:rsidP="001D664F">
      <w:pPr>
        <w:pStyle w:val="ListParagraph"/>
        <w:numPr>
          <w:ilvl w:val="2"/>
          <w:numId w:val="1"/>
        </w:numPr>
        <w:spacing w:before="240"/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Act as primary contact with the event partners in confirming event details and relaying information.</w:t>
      </w:r>
    </w:p>
    <w:p w:rsidR="005E2DEE" w:rsidRPr="00560A80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0E4956" w:rsidRPr="002A1AE6" w:rsidRDefault="002A1AE6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2A1AE6">
        <w:rPr>
          <w:rFonts w:ascii="Arial Narrow" w:hAnsi="Arial Narrow"/>
          <w:b/>
          <w:color w:val="632423" w:themeColor="accent2" w:themeShade="80"/>
        </w:rPr>
        <w:t>Event Venue Arrangements</w:t>
      </w:r>
    </w:p>
    <w:p w:rsidR="002A1AE6" w:rsidRDefault="009A1F19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Develop the concept of the event.</w:t>
      </w:r>
    </w:p>
    <w:p w:rsidR="009A1F19" w:rsidRDefault="009A1F19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Manage event décor and signage.</w:t>
      </w:r>
    </w:p>
    <w:p w:rsidR="009A1F19" w:rsidRDefault="009A1F19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Design exhibition booths for the exhibitors.</w:t>
      </w:r>
    </w:p>
    <w:p w:rsidR="009A1F19" w:rsidRDefault="009A1F19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Ensure that event venue is arranged according to specifications </w:t>
      </w:r>
    </w:p>
    <w:p w:rsidR="009A1F19" w:rsidRDefault="009A1F19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If required, participate in marketing and sales of the </w:t>
      </w:r>
      <w:r w:rsidR="00AD0974">
        <w:rPr>
          <w:rFonts w:ascii="Arial Narrow" w:hAnsi="Arial Narrow"/>
        </w:rPr>
        <w:t>event.</w:t>
      </w:r>
    </w:p>
    <w:p w:rsidR="00AD0974" w:rsidRDefault="00AD0974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Ensure all audio-visual equipment is available.</w:t>
      </w:r>
    </w:p>
    <w:p w:rsidR="00AD0974" w:rsidRDefault="00AD0974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Ensure </w:t>
      </w:r>
      <w:r w:rsidR="00214769">
        <w:rPr>
          <w:rFonts w:ascii="Arial Narrow" w:hAnsi="Arial Narrow"/>
        </w:rPr>
        <w:t>service maintenance for all equipment/services and facilities is promptly available.</w:t>
      </w:r>
    </w:p>
    <w:p w:rsidR="00CD4D48" w:rsidRPr="00CD4D48" w:rsidRDefault="00CD4D48" w:rsidP="00CD4D48">
      <w:pPr>
        <w:pStyle w:val="ListParagraph"/>
        <w:rPr>
          <w:rFonts w:ascii="Arial Narrow" w:hAnsi="Arial Narrow"/>
        </w:rPr>
      </w:pPr>
    </w:p>
    <w:p w:rsidR="00CD4D48" w:rsidRPr="00CC2263" w:rsidRDefault="00CC2263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CC2263">
        <w:rPr>
          <w:rFonts w:ascii="Arial Narrow" w:hAnsi="Arial Narrow"/>
          <w:b/>
          <w:color w:val="632423" w:themeColor="accent2" w:themeShade="80"/>
        </w:rPr>
        <w:t>Event Reference Materials</w:t>
      </w:r>
    </w:p>
    <w:p w:rsidR="00CC2263" w:rsidRDefault="00E31E1D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Production of event documents and information materials.</w:t>
      </w:r>
    </w:p>
    <w:p w:rsidR="00E31E1D" w:rsidRDefault="00E31E1D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>Prepare and distribute an arrival information package for the participants.</w:t>
      </w:r>
    </w:p>
    <w:p w:rsidR="006526D0" w:rsidRPr="006526D0" w:rsidRDefault="006526D0" w:rsidP="006526D0">
      <w:pPr>
        <w:pStyle w:val="ListParagraph"/>
        <w:rPr>
          <w:rFonts w:ascii="Arial Narrow" w:hAnsi="Arial Narrow"/>
        </w:rPr>
      </w:pPr>
    </w:p>
    <w:p w:rsidR="006526D0" w:rsidRPr="00E31E1D" w:rsidRDefault="00E31E1D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E31E1D">
        <w:rPr>
          <w:rFonts w:ascii="Arial Narrow" w:hAnsi="Arial Narrow"/>
          <w:b/>
          <w:color w:val="632423" w:themeColor="accent2" w:themeShade="80"/>
        </w:rPr>
        <w:t>Participants Registration and Information Support</w:t>
      </w:r>
    </w:p>
    <w:p w:rsidR="00E31E1D" w:rsidRDefault="007159F2" w:rsidP="001D664F">
      <w:pPr>
        <w:pStyle w:val="ListParagraph"/>
        <w:numPr>
          <w:ilvl w:val="2"/>
          <w:numId w:val="1"/>
        </w:numPr>
        <w:ind w:hanging="371"/>
        <w:rPr>
          <w:rFonts w:ascii="Arial Narrow" w:hAnsi="Arial Narrow"/>
        </w:rPr>
      </w:pPr>
      <w:r>
        <w:rPr>
          <w:rFonts w:ascii="Arial Narrow" w:hAnsi="Arial Narrow"/>
        </w:rPr>
        <w:t>Manage a one-stop general information support service for participants.</w:t>
      </w:r>
    </w:p>
    <w:p w:rsidR="007159F2" w:rsidRDefault="007159F2" w:rsidP="007159F2">
      <w:pPr>
        <w:pStyle w:val="ListParagraph"/>
        <w:ind w:left="1080"/>
        <w:rPr>
          <w:rFonts w:ascii="Arial Narrow" w:hAnsi="Arial Narrow"/>
        </w:rPr>
      </w:pPr>
    </w:p>
    <w:p w:rsidR="00E31E1D" w:rsidRPr="007159F2" w:rsidRDefault="007159F2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7159F2">
        <w:rPr>
          <w:rFonts w:ascii="Arial Narrow" w:hAnsi="Arial Narrow"/>
          <w:b/>
          <w:color w:val="632423" w:themeColor="accent2" w:themeShade="80"/>
        </w:rPr>
        <w:t>Communication and Publication</w:t>
      </w:r>
    </w:p>
    <w:p w:rsidR="007159F2" w:rsidRDefault="000A5960" w:rsidP="001D664F">
      <w:pPr>
        <w:pStyle w:val="ListParagraph"/>
        <w:numPr>
          <w:ilvl w:val="2"/>
          <w:numId w:val="1"/>
        </w:numPr>
        <w:ind w:hanging="37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Public Media Advocacy – in liaison with the Events Committee, arrange publication in bot h the print and broadcast media. </w:t>
      </w:r>
    </w:p>
    <w:p w:rsidR="000A5960" w:rsidRDefault="000A5960" w:rsidP="000A5960">
      <w:pPr>
        <w:pStyle w:val="ListParagraph"/>
        <w:ind w:left="1080"/>
        <w:rPr>
          <w:rFonts w:ascii="Arial Narrow" w:hAnsi="Arial Narrow"/>
        </w:rPr>
      </w:pPr>
    </w:p>
    <w:p w:rsidR="00E31E1D" w:rsidRPr="00A3745F" w:rsidRDefault="00A3745F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  <w:b/>
          <w:color w:val="632423" w:themeColor="accent2" w:themeShade="80"/>
        </w:rPr>
      </w:pPr>
      <w:r w:rsidRPr="00A3745F">
        <w:rPr>
          <w:rFonts w:ascii="Arial Narrow" w:hAnsi="Arial Narrow"/>
          <w:b/>
          <w:color w:val="632423" w:themeColor="accent2" w:themeShade="80"/>
        </w:rPr>
        <w:t>Other  General Logistical Arrangements</w:t>
      </w:r>
    </w:p>
    <w:p w:rsidR="00A3745F" w:rsidRDefault="00A3745F" w:rsidP="001D664F">
      <w:pPr>
        <w:pStyle w:val="ListParagraph"/>
        <w:numPr>
          <w:ilvl w:val="2"/>
          <w:numId w:val="1"/>
        </w:numPr>
        <w:ind w:hanging="371"/>
        <w:rPr>
          <w:rFonts w:ascii="Arial Narrow" w:hAnsi="Arial Narrow"/>
        </w:rPr>
      </w:pPr>
      <w:r>
        <w:rPr>
          <w:rFonts w:ascii="Arial Narrow" w:hAnsi="Arial Narrow"/>
        </w:rPr>
        <w:t>Ground Transport – arrange and confirm shuttle services and VIP transport</w:t>
      </w:r>
    </w:p>
    <w:p w:rsidR="005E2DEE" w:rsidRPr="00A3745F" w:rsidRDefault="00A3745F" w:rsidP="001D664F">
      <w:pPr>
        <w:pStyle w:val="ListParagraph"/>
        <w:numPr>
          <w:ilvl w:val="2"/>
          <w:numId w:val="1"/>
        </w:numPr>
        <w:ind w:hanging="371"/>
        <w:rPr>
          <w:rFonts w:ascii="Arial Narrow" w:hAnsi="Arial Narrow"/>
        </w:rPr>
      </w:pPr>
      <w:r w:rsidRPr="00A3745F">
        <w:rPr>
          <w:rFonts w:ascii="Arial Narrow" w:hAnsi="Arial Narrow"/>
        </w:rPr>
        <w:t>Accommodation – where required, make arrangements.</w:t>
      </w:r>
    </w:p>
    <w:p w:rsidR="00CF3BF4" w:rsidRPr="00CF3BF4" w:rsidRDefault="00CF3BF4" w:rsidP="00CF3BF4">
      <w:pPr>
        <w:pStyle w:val="ListParagraph"/>
        <w:rPr>
          <w:rFonts w:ascii="Arial Narrow" w:hAnsi="Arial Narrow"/>
          <w:color w:val="4C0000"/>
        </w:rPr>
      </w:pPr>
    </w:p>
    <w:p w:rsidR="00A97443" w:rsidRPr="005E776C" w:rsidRDefault="00A97443" w:rsidP="00560A80">
      <w:pPr>
        <w:pStyle w:val="ListParagraph"/>
        <w:numPr>
          <w:ilvl w:val="0"/>
          <w:numId w:val="7"/>
        </w:numPr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PREQUALIFICATION REQUIREMENT</w:t>
      </w:r>
    </w:p>
    <w:p w:rsidR="00195C92" w:rsidRPr="005E776C" w:rsidRDefault="00195C92" w:rsidP="000A2064">
      <w:pPr>
        <w:pStyle w:val="ListParagraph"/>
        <w:ind w:left="426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6" w:hanging="142"/>
        <w:rPr>
          <w:rFonts w:ascii="Arial Narrow" w:hAnsi="Arial Narrow"/>
        </w:rPr>
      </w:pPr>
      <w:r w:rsidRPr="005E776C">
        <w:rPr>
          <w:rFonts w:ascii="Arial Narrow" w:hAnsi="Arial Narrow"/>
        </w:rPr>
        <w:t xml:space="preserve">Bidders are </w:t>
      </w:r>
      <w:r w:rsidR="00195C92" w:rsidRPr="005E776C">
        <w:rPr>
          <w:rFonts w:ascii="Arial Narrow" w:hAnsi="Arial Narrow"/>
        </w:rPr>
        <w:t>required to</w:t>
      </w:r>
      <w:r w:rsidRPr="005E776C">
        <w:rPr>
          <w:rFonts w:ascii="Arial Narrow" w:hAnsi="Arial Narrow"/>
        </w:rPr>
        <w:t xml:space="preserve"> provide the following: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Documented Expression of Interest</w:t>
      </w:r>
    </w:p>
    <w:p w:rsidR="004B42DD" w:rsidRPr="005E776C" w:rsidRDefault="004B42DD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IPA Certification Statements.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Capability statement/ Company Profile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Demonstrate manpower Capacity and expertise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Reference Statements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Documents indicating professional services rate</w:t>
      </w:r>
    </w:p>
    <w:p w:rsidR="00A97443" w:rsidRPr="005E776C" w:rsidRDefault="00A97443" w:rsidP="000A2064">
      <w:pPr>
        <w:rPr>
          <w:rFonts w:ascii="Arial Narrow" w:hAnsi="Arial Narrow"/>
        </w:rPr>
      </w:pPr>
    </w:p>
    <w:p w:rsidR="00A97443" w:rsidRPr="005E776C" w:rsidRDefault="00A97443" w:rsidP="000A2064">
      <w:pPr>
        <w:pStyle w:val="ListParagraph"/>
        <w:numPr>
          <w:ilvl w:val="0"/>
          <w:numId w:val="7"/>
        </w:numPr>
        <w:ind w:left="425" w:hanging="425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SUBMISSION OF BIDS</w:t>
      </w:r>
    </w:p>
    <w:p w:rsidR="00195C92" w:rsidRPr="005E776C" w:rsidRDefault="00195C92" w:rsidP="000A2064">
      <w:pPr>
        <w:pStyle w:val="ListParagraph"/>
        <w:ind w:left="425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5"/>
        <w:rPr>
          <w:rFonts w:ascii="Arial Narrow" w:hAnsi="Arial Narrow"/>
        </w:rPr>
        <w:sectPr w:rsidR="00A97443" w:rsidRPr="005E776C" w:rsidSect="00AB74E6">
          <w:type w:val="continuous"/>
          <w:pgSz w:w="11906" w:h="16838"/>
          <w:pgMar w:top="720" w:right="720" w:bottom="568" w:left="720" w:header="708" w:footer="708" w:gutter="0"/>
          <w:cols w:num="2" w:sep="1" w:space="709"/>
          <w:docGrid w:linePitch="360"/>
        </w:sectPr>
      </w:pPr>
      <w:r w:rsidRPr="005E776C">
        <w:rPr>
          <w:rFonts w:ascii="Arial Narrow" w:hAnsi="Arial Narrow"/>
        </w:rPr>
        <w:t>All Bids are required to be submitted to the Security Front Desk of the To</w:t>
      </w:r>
      <w:r w:rsidR="00E318D2">
        <w:rPr>
          <w:rFonts w:ascii="Arial Narrow" w:hAnsi="Arial Narrow"/>
        </w:rPr>
        <w:t xml:space="preserve"> </w:t>
      </w:r>
      <w:r w:rsidRPr="005E776C">
        <w:rPr>
          <w:rFonts w:ascii="Arial Narrow" w:hAnsi="Arial Narrow"/>
        </w:rPr>
        <w:t xml:space="preserve">Robert </w:t>
      </w:r>
      <w:proofErr w:type="spellStart"/>
      <w:r w:rsidRPr="005E776C">
        <w:rPr>
          <w:rFonts w:ascii="Arial Narrow" w:hAnsi="Arial Narrow"/>
        </w:rPr>
        <w:t>Haus</w:t>
      </w:r>
      <w:proofErr w:type="spellEnd"/>
      <w:r w:rsidRPr="005E776C">
        <w:rPr>
          <w:rFonts w:ascii="Arial Narrow" w:hAnsi="Arial Narrow"/>
        </w:rPr>
        <w:t xml:space="preserve">, located along the corner of Douglas and </w:t>
      </w:r>
      <w:proofErr w:type="spellStart"/>
      <w:r w:rsidRPr="005E776C">
        <w:rPr>
          <w:rFonts w:ascii="Arial Narrow" w:hAnsi="Arial Narrow"/>
        </w:rPr>
        <w:t>Cuthbertson</w:t>
      </w:r>
      <w:proofErr w:type="spellEnd"/>
      <w:r w:rsidRPr="005E776C">
        <w:rPr>
          <w:rFonts w:ascii="Arial Narrow" w:hAnsi="Arial Narrow"/>
        </w:rPr>
        <w:t xml:space="preserve"> Street N.C.D no later than 1600 hours </w:t>
      </w:r>
      <w:r w:rsidR="00E318D2">
        <w:rPr>
          <w:rFonts w:ascii="Arial Narrow" w:hAnsi="Arial Narrow"/>
        </w:rPr>
        <w:t>14</w:t>
      </w:r>
      <w:r w:rsidR="00E318D2" w:rsidRPr="00E318D2">
        <w:rPr>
          <w:rFonts w:ascii="Arial Narrow" w:hAnsi="Arial Narrow"/>
          <w:vertAlign w:val="superscript"/>
        </w:rPr>
        <w:t>th</w:t>
      </w:r>
      <w:r w:rsidR="00A13B96">
        <w:rPr>
          <w:rFonts w:ascii="Arial Narrow" w:hAnsi="Arial Narrow"/>
          <w:vertAlign w:val="superscript"/>
        </w:rPr>
        <w:t xml:space="preserve"> </w:t>
      </w:r>
      <w:r w:rsidR="00A13B96">
        <w:rPr>
          <w:rFonts w:ascii="Arial Narrow" w:hAnsi="Arial Narrow"/>
        </w:rPr>
        <w:t>December 2016</w:t>
      </w:r>
    </w:p>
    <w:p w:rsidR="00A97443" w:rsidRPr="005E776C" w:rsidRDefault="00A97443" w:rsidP="000A2064">
      <w:pPr>
        <w:jc w:val="center"/>
        <w:rPr>
          <w:rFonts w:ascii="Arial Narrow" w:hAnsi="Arial Narrow"/>
        </w:rPr>
      </w:pPr>
    </w:p>
    <w:p w:rsidR="00A97443" w:rsidRDefault="00A97443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Pr="005E776C" w:rsidRDefault="005E2DEE" w:rsidP="000A2064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All Bids must be addressed to: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  <w:b/>
        </w:rPr>
      </w:pPr>
      <w:r w:rsidRPr="005E776C">
        <w:rPr>
          <w:rFonts w:ascii="Arial Narrow" w:hAnsi="Arial Narrow"/>
          <w:b/>
        </w:rPr>
        <w:t>The Chairman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Tender Committee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Bank of Papua New Guinea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P.O Box 121, PORT MORESBY</w:t>
      </w:r>
    </w:p>
    <w:sectPr w:rsidR="00A97443" w:rsidRPr="005E776C" w:rsidSect="00A97443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C7" w:rsidRDefault="007A49C7" w:rsidP="00AB74E6">
      <w:r>
        <w:separator/>
      </w:r>
    </w:p>
  </w:endnote>
  <w:endnote w:type="continuationSeparator" w:id="0">
    <w:p w:rsidR="007A49C7" w:rsidRDefault="007A49C7" w:rsidP="00A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C7" w:rsidRDefault="007A49C7" w:rsidP="00AB74E6">
      <w:r>
        <w:separator/>
      </w:r>
    </w:p>
  </w:footnote>
  <w:footnote w:type="continuationSeparator" w:id="0">
    <w:p w:rsidR="007A49C7" w:rsidRDefault="007A49C7" w:rsidP="00AB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4B3"/>
    <w:multiLevelType w:val="multilevel"/>
    <w:tmpl w:val="52FE4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A11F5A"/>
    <w:multiLevelType w:val="hybridMultilevel"/>
    <w:tmpl w:val="0890B9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B69CD"/>
    <w:multiLevelType w:val="multilevel"/>
    <w:tmpl w:val="2B6EA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3D52C8D"/>
    <w:multiLevelType w:val="hybridMultilevel"/>
    <w:tmpl w:val="A2D090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2D54C0"/>
    <w:multiLevelType w:val="multilevel"/>
    <w:tmpl w:val="3D28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AFE16A6"/>
    <w:multiLevelType w:val="hybridMultilevel"/>
    <w:tmpl w:val="4C7A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6FFD"/>
    <w:multiLevelType w:val="hybridMultilevel"/>
    <w:tmpl w:val="D556F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E84EA2"/>
    <w:multiLevelType w:val="hybridMultilevel"/>
    <w:tmpl w:val="E59C3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2C67"/>
    <w:multiLevelType w:val="hybridMultilevel"/>
    <w:tmpl w:val="7BE8FA24"/>
    <w:lvl w:ilvl="0" w:tplc="B2260E72">
      <w:start w:val="1"/>
      <w:numFmt w:val="bullet"/>
      <w:lvlText w:val=""/>
      <w:lvlJc w:val="left"/>
      <w:pPr>
        <w:ind w:left="79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7D736C2D"/>
    <w:multiLevelType w:val="hybridMultilevel"/>
    <w:tmpl w:val="B428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3"/>
    <w:rsid w:val="0001234D"/>
    <w:rsid w:val="00042C14"/>
    <w:rsid w:val="0006505E"/>
    <w:rsid w:val="000661DB"/>
    <w:rsid w:val="000709C0"/>
    <w:rsid w:val="00083D3B"/>
    <w:rsid w:val="000A2064"/>
    <w:rsid w:val="000A5960"/>
    <w:rsid w:val="000C1582"/>
    <w:rsid w:val="000D3651"/>
    <w:rsid w:val="000D3F99"/>
    <w:rsid w:val="000D532A"/>
    <w:rsid w:val="000E4956"/>
    <w:rsid w:val="000F1F8F"/>
    <w:rsid w:val="000F54B2"/>
    <w:rsid w:val="00131AA8"/>
    <w:rsid w:val="00143BFC"/>
    <w:rsid w:val="00195C92"/>
    <w:rsid w:val="001A31DD"/>
    <w:rsid w:val="001B2E52"/>
    <w:rsid w:val="001B2F2B"/>
    <w:rsid w:val="001D664F"/>
    <w:rsid w:val="001D7143"/>
    <w:rsid w:val="00214769"/>
    <w:rsid w:val="0021732D"/>
    <w:rsid w:val="002253A7"/>
    <w:rsid w:val="00232937"/>
    <w:rsid w:val="0026515D"/>
    <w:rsid w:val="002714D7"/>
    <w:rsid w:val="00272211"/>
    <w:rsid w:val="00272381"/>
    <w:rsid w:val="002A1AE6"/>
    <w:rsid w:val="002D0D5F"/>
    <w:rsid w:val="002D61D9"/>
    <w:rsid w:val="00330770"/>
    <w:rsid w:val="00377DDF"/>
    <w:rsid w:val="00386F6D"/>
    <w:rsid w:val="0040613B"/>
    <w:rsid w:val="00427395"/>
    <w:rsid w:val="00441EEB"/>
    <w:rsid w:val="00443D8E"/>
    <w:rsid w:val="004B3BB9"/>
    <w:rsid w:val="004B42DD"/>
    <w:rsid w:val="004D6B3A"/>
    <w:rsid w:val="004F6D26"/>
    <w:rsid w:val="005458ED"/>
    <w:rsid w:val="00546D47"/>
    <w:rsid w:val="00560A80"/>
    <w:rsid w:val="005A31CB"/>
    <w:rsid w:val="005C0CF3"/>
    <w:rsid w:val="005E2297"/>
    <w:rsid w:val="005E256B"/>
    <w:rsid w:val="005E2DEE"/>
    <w:rsid w:val="005E776C"/>
    <w:rsid w:val="006526D0"/>
    <w:rsid w:val="00672B30"/>
    <w:rsid w:val="006764DF"/>
    <w:rsid w:val="006820AE"/>
    <w:rsid w:val="006A32B9"/>
    <w:rsid w:val="006C17E2"/>
    <w:rsid w:val="006D3DF5"/>
    <w:rsid w:val="006E256E"/>
    <w:rsid w:val="007159F2"/>
    <w:rsid w:val="0074157A"/>
    <w:rsid w:val="00762936"/>
    <w:rsid w:val="007A49C7"/>
    <w:rsid w:val="00823111"/>
    <w:rsid w:val="00842F02"/>
    <w:rsid w:val="00897DBD"/>
    <w:rsid w:val="008A104A"/>
    <w:rsid w:val="00900C89"/>
    <w:rsid w:val="00915764"/>
    <w:rsid w:val="00942D0F"/>
    <w:rsid w:val="00974B16"/>
    <w:rsid w:val="009A1F19"/>
    <w:rsid w:val="009A61CA"/>
    <w:rsid w:val="009C3516"/>
    <w:rsid w:val="009E25B2"/>
    <w:rsid w:val="00A057D1"/>
    <w:rsid w:val="00A13B96"/>
    <w:rsid w:val="00A220AC"/>
    <w:rsid w:val="00A30A96"/>
    <w:rsid w:val="00A35D24"/>
    <w:rsid w:val="00A3745F"/>
    <w:rsid w:val="00A83F00"/>
    <w:rsid w:val="00A97443"/>
    <w:rsid w:val="00AB74E6"/>
    <w:rsid w:val="00AD0974"/>
    <w:rsid w:val="00AE5A9D"/>
    <w:rsid w:val="00B04F6C"/>
    <w:rsid w:val="00B30037"/>
    <w:rsid w:val="00B36488"/>
    <w:rsid w:val="00B41D13"/>
    <w:rsid w:val="00BD2F40"/>
    <w:rsid w:val="00BD607B"/>
    <w:rsid w:val="00C21F7E"/>
    <w:rsid w:val="00C41E66"/>
    <w:rsid w:val="00C474E8"/>
    <w:rsid w:val="00C51D5A"/>
    <w:rsid w:val="00C91B58"/>
    <w:rsid w:val="00C97C09"/>
    <w:rsid w:val="00CC2263"/>
    <w:rsid w:val="00CD4D48"/>
    <w:rsid w:val="00CE684F"/>
    <w:rsid w:val="00CF3BF4"/>
    <w:rsid w:val="00CF58D5"/>
    <w:rsid w:val="00D00400"/>
    <w:rsid w:val="00D04772"/>
    <w:rsid w:val="00D51BD1"/>
    <w:rsid w:val="00D71255"/>
    <w:rsid w:val="00D92FD7"/>
    <w:rsid w:val="00D94EC5"/>
    <w:rsid w:val="00D954C7"/>
    <w:rsid w:val="00DC0004"/>
    <w:rsid w:val="00DE7E64"/>
    <w:rsid w:val="00DF3C83"/>
    <w:rsid w:val="00E21749"/>
    <w:rsid w:val="00E23FC9"/>
    <w:rsid w:val="00E26F36"/>
    <w:rsid w:val="00E318D2"/>
    <w:rsid w:val="00E31E1D"/>
    <w:rsid w:val="00E40175"/>
    <w:rsid w:val="00E75141"/>
    <w:rsid w:val="00E9101D"/>
    <w:rsid w:val="00E95C02"/>
    <w:rsid w:val="00EC6487"/>
    <w:rsid w:val="00ED2A3D"/>
    <w:rsid w:val="00ED76DC"/>
    <w:rsid w:val="00F51898"/>
    <w:rsid w:val="00F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Jethro</dc:creator>
  <cp:lastModifiedBy>Regina Okole</cp:lastModifiedBy>
  <cp:revision>18</cp:revision>
  <cp:lastPrinted>2016-12-01T05:51:00Z</cp:lastPrinted>
  <dcterms:created xsi:type="dcterms:W3CDTF">2016-04-07T02:16:00Z</dcterms:created>
  <dcterms:modified xsi:type="dcterms:W3CDTF">2016-12-02T01:42:00Z</dcterms:modified>
</cp:coreProperties>
</file>