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8856"/>
      </w:tblGrid>
      <w:tr w:rsidR="00BD51E3" w:rsidRPr="00241625" w14:paraId="23549BD4" w14:textId="77777777" w:rsidTr="00404E8C">
        <w:trPr>
          <w:trHeight w:val="450"/>
          <w:jc w:val="center"/>
        </w:trPr>
        <w:tc>
          <w:tcPr>
            <w:tcW w:w="5000" w:type="pct"/>
          </w:tcPr>
          <w:p w14:paraId="23843E3E" w14:textId="621B309C" w:rsidR="00BD51E3" w:rsidRPr="00241625" w:rsidRDefault="00BD51E3" w:rsidP="00BD51E3">
            <w:pPr>
              <w:pStyle w:val="MediumGrid21"/>
              <w:keepNext/>
              <w:keepLines/>
              <w:spacing w:before="240" w:after="120"/>
              <w:contextualSpacing/>
              <w:outlineLvl w:val="2"/>
              <w:rPr>
                <w:rFonts w:ascii="Times New Roman" w:hAnsi="Times New Roman"/>
                <w:caps/>
                <w:sz w:val="24"/>
                <w:szCs w:val="24"/>
                <w:lang w:val="fr-FR"/>
              </w:rPr>
            </w:pPr>
            <w:r w:rsidRPr="00241625">
              <w:rPr>
                <w:noProof/>
                <w:sz w:val="24"/>
              </w:rPr>
              <w:drawing>
                <wp:anchor distT="0" distB="0" distL="114300" distR="114300" simplePos="0" relativeHeight="251661312" behindDoc="0" locked="0" layoutInCell="1" allowOverlap="1" wp14:anchorId="136AB56F" wp14:editId="6487C1D0">
                  <wp:simplePos x="0" y="0"/>
                  <wp:positionH relativeFrom="column">
                    <wp:posOffset>2202180</wp:posOffset>
                  </wp:positionH>
                  <wp:positionV relativeFrom="paragraph">
                    <wp:posOffset>0</wp:posOffset>
                  </wp:positionV>
                  <wp:extent cx="1127760" cy="1202055"/>
                  <wp:effectExtent l="0" t="0" r="0" b="0"/>
                  <wp:wrapSquare wrapText="bothSides"/>
                  <wp:docPr id="5" name="Picture 5" descr="logo 300dp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300dpi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7760" cy="12020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D51E3" w:rsidRPr="00241625" w14:paraId="6F4AA69C" w14:textId="77777777" w:rsidTr="00404E8C">
        <w:trPr>
          <w:trHeight w:val="2880"/>
          <w:jc w:val="center"/>
        </w:trPr>
        <w:tc>
          <w:tcPr>
            <w:tcW w:w="5000" w:type="pct"/>
          </w:tcPr>
          <w:p w14:paraId="7FEADC8B" w14:textId="77777777" w:rsidR="00BD51E3" w:rsidRPr="00241625" w:rsidRDefault="00BD51E3" w:rsidP="00404E8C">
            <w:pPr>
              <w:pStyle w:val="Heading2"/>
              <w:ind w:left="362"/>
              <w:jc w:val="center"/>
              <w:rPr>
                <w:rFonts w:ascii="Times New Roman" w:eastAsia="Times New Roman" w:hAnsi="Times New Roman" w:cs="Times New Roman"/>
                <w:bCs w:val="0"/>
                <w:color w:val="auto"/>
                <w:sz w:val="36"/>
                <w:szCs w:val="36"/>
              </w:rPr>
            </w:pPr>
          </w:p>
          <w:p w14:paraId="701BBA1A" w14:textId="77777777" w:rsidR="00BD51E3" w:rsidRPr="00241625" w:rsidRDefault="00BD51E3" w:rsidP="00404E8C">
            <w:pPr>
              <w:pStyle w:val="Heading2"/>
              <w:ind w:left="362"/>
              <w:jc w:val="center"/>
              <w:rPr>
                <w:rFonts w:ascii="Times New Roman" w:eastAsia="Times New Roman" w:hAnsi="Times New Roman" w:cs="Times New Roman"/>
                <w:bCs w:val="0"/>
                <w:color w:val="auto"/>
                <w:sz w:val="28"/>
                <w:szCs w:val="36"/>
              </w:rPr>
            </w:pPr>
            <w:r w:rsidRPr="00241625">
              <w:rPr>
                <w:rFonts w:ascii="Times New Roman" w:eastAsia="Times New Roman" w:hAnsi="Times New Roman" w:cs="Times New Roman"/>
                <w:bCs w:val="0"/>
                <w:color w:val="auto"/>
                <w:sz w:val="28"/>
                <w:szCs w:val="36"/>
              </w:rPr>
              <w:t>Papua New Guinea:</w:t>
            </w:r>
          </w:p>
          <w:p w14:paraId="72BF7027" w14:textId="77777777" w:rsidR="00BD51E3" w:rsidRPr="00241625" w:rsidRDefault="00BD51E3" w:rsidP="00404E8C">
            <w:pPr>
              <w:pStyle w:val="Heading2"/>
              <w:ind w:left="362"/>
              <w:jc w:val="center"/>
              <w:rPr>
                <w:rFonts w:ascii="Times New Roman" w:eastAsia="Times New Roman" w:hAnsi="Times New Roman" w:cs="Times New Roman"/>
                <w:bCs w:val="0"/>
                <w:color w:val="auto"/>
                <w:sz w:val="28"/>
                <w:szCs w:val="36"/>
              </w:rPr>
            </w:pPr>
            <w:r w:rsidRPr="00241625">
              <w:rPr>
                <w:rFonts w:ascii="Times New Roman" w:eastAsia="Times New Roman" w:hAnsi="Times New Roman" w:cs="Times New Roman"/>
                <w:bCs w:val="0"/>
                <w:color w:val="auto"/>
                <w:sz w:val="28"/>
                <w:szCs w:val="36"/>
              </w:rPr>
              <w:t>TA - Financial Services Sector Development Strategy</w:t>
            </w:r>
            <w:r>
              <w:rPr>
                <w:rStyle w:val="FootnoteReference"/>
                <w:rFonts w:ascii="Times New Roman" w:eastAsia="Times New Roman" w:hAnsi="Times New Roman" w:cs="Times New Roman"/>
                <w:bCs w:val="0"/>
                <w:color w:val="auto"/>
                <w:sz w:val="28"/>
                <w:szCs w:val="36"/>
              </w:rPr>
              <w:footnoteReference w:id="1"/>
            </w:r>
          </w:p>
          <w:p w14:paraId="353E79FC" w14:textId="77777777" w:rsidR="00BD51E3" w:rsidRPr="00241625" w:rsidRDefault="00BD51E3" w:rsidP="00404E8C">
            <w:pPr>
              <w:pStyle w:val="MediumGrid21"/>
              <w:jc w:val="center"/>
              <w:rPr>
                <w:rFonts w:ascii="Times New Roman" w:hAnsi="Times New Roman"/>
                <w:b/>
                <w:sz w:val="36"/>
                <w:szCs w:val="36"/>
              </w:rPr>
            </w:pPr>
          </w:p>
          <w:p w14:paraId="38DA8F17" w14:textId="77777777" w:rsidR="00BD51E3" w:rsidRPr="00241625" w:rsidRDefault="00BD51E3" w:rsidP="00404E8C">
            <w:pPr>
              <w:pStyle w:val="MediumGrid21"/>
              <w:jc w:val="center"/>
              <w:rPr>
                <w:rFonts w:ascii="Times New Roman" w:hAnsi="Times New Roman"/>
                <w:b/>
                <w:sz w:val="36"/>
                <w:szCs w:val="36"/>
              </w:rPr>
            </w:pPr>
          </w:p>
          <w:p w14:paraId="0F7852EA" w14:textId="6362486C" w:rsidR="00BD51E3" w:rsidRPr="00BD51E3" w:rsidRDefault="00BD51E3" w:rsidP="00BD51E3">
            <w:pPr>
              <w:pStyle w:val="MediumGrid21"/>
              <w:jc w:val="center"/>
              <w:rPr>
                <w:rFonts w:ascii="Times New Roman" w:hAnsi="Times New Roman"/>
                <w:b/>
                <w:sz w:val="32"/>
                <w:szCs w:val="36"/>
              </w:rPr>
            </w:pPr>
            <w:r>
              <w:rPr>
                <w:rFonts w:ascii="Times New Roman" w:hAnsi="Times New Roman"/>
                <w:b/>
                <w:sz w:val="32"/>
                <w:szCs w:val="36"/>
              </w:rPr>
              <w:t xml:space="preserve">Review of the </w:t>
            </w:r>
            <w:r w:rsidRPr="00BD51E3">
              <w:rPr>
                <w:rFonts w:ascii="Times New Roman" w:hAnsi="Times New Roman"/>
                <w:b/>
                <w:sz w:val="32"/>
                <w:szCs w:val="36"/>
              </w:rPr>
              <w:t>PNG G</w:t>
            </w:r>
            <w:r>
              <w:rPr>
                <w:rFonts w:ascii="Times New Roman" w:hAnsi="Times New Roman"/>
                <w:b/>
                <w:sz w:val="32"/>
                <w:szCs w:val="36"/>
              </w:rPr>
              <w:t xml:space="preserve">overnment Bond </w:t>
            </w:r>
            <w:r w:rsidRPr="00BD51E3">
              <w:rPr>
                <w:rFonts w:ascii="Times New Roman" w:hAnsi="Times New Roman"/>
                <w:b/>
                <w:sz w:val="32"/>
                <w:szCs w:val="36"/>
              </w:rPr>
              <w:t>&amp;</w:t>
            </w:r>
          </w:p>
          <w:p w14:paraId="0A47606B" w14:textId="78A4BFE2" w:rsidR="00BD51E3" w:rsidRPr="00241625" w:rsidRDefault="00BD51E3" w:rsidP="00BD51E3">
            <w:pPr>
              <w:pStyle w:val="MediumGrid21"/>
              <w:jc w:val="center"/>
              <w:rPr>
                <w:rFonts w:ascii="Times New Roman" w:hAnsi="Times New Roman"/>
                <w:b/>
                <w:sz w:val="36"/>
                <w:szCs w:val="36"/>
              </w:rPr>
            </w:pPr>
            <w:r w:rsidRPr="00BD51E3">
              <w:rPr>
                <w:rFonts w:ascii="Times New Roman" w:hAnsi="Times New Roman"/>
                <w:b/>
                <w:sz w:val="32"/>
                <w:szCs w:val="36"/>
              </w:rPr>
              <w:t>C</w:t>
            </w:r>
            <w:r>
              <w:rPr>
                <w:rFonts w:ascii="Times New Roman" w:hAnsi="Times New Roman"/>
                <w:b/>
                <w:sz w:val="32"/>
                <w:szCs w:val="36"/>
              </w:rPr>
              <w:t>apital Market Development</w:t>
            </w:r>
            <w:r w:rsidRPr="00BD51E3">
              <w:rPr>
                <w:rFonts w:ascii="Times New Roman" w:hAnsi="Times New Roman"/>
                <w:b/>
                <w:sz w:val="32"/>
                <w:szCs w:val="36"/>
              </w:rPr>
              <w:t xml:space="preserve"> </w:t>
            </w:r>
            <w:r>
              <w:rPr>
                <w:rStyle w:val="FootnoteReference"/>
                <w:rFonts w:ascii="Times New Roman" w:hAnsi="Times New Roman"/>
                <w:b/>
                <w:sz w:val="36"/>
                <w:szCs w:val="36"/>
              </w:rPr>
              <w:footnoteReference w:id="2"/>
            </w:r>
          </w:p>
        </w:tc>
      </w:tr>
      <w:tr w:rsidR="00BD51E3" w:rsidRPr="00241625" w14:paraId="33ECAED9" w14:textId="77777777" w:rsidTr="00404E8C">
        <w:trPr>
          <w:trHeight w:val="1440"/>
          <w:jc w:val="center"/>
        </w:trPr>
        <w:tc>
          <w:tcPr>
            <w:tcW w:w="5000" w:type="pct"/>
            <w:tcBorders>
              <w:bottom w:val="single" w:sz="4" w:space="0" w:color="4F81BD"/>
            </w:tcBorders>
            <w:vAlign w:val="center"/>
          </w:tcPr>
          <w:p w14:paraId="1DE6A24A" w14:textId="77777777" w:rsidR="00BD51E3" w:rsidRPr="00241625" w:rsidRDefault="00BD51E3" w:rsidP="00404E8C">
            <w:pPr>
              <w:pStyle w:val="MediumGrid21"/>
              <w:jc w:val="center"/>
              <w:rPr>
                <w:rFonts w:ascii="Times New Roman" w:hAnsi="Times New Roman"/>
                <w:sz w:val="24"/>
                <w:szCs w:val="24"/>
              </w:rPr>
            </w:pPr>
          </w:p>
        </w:tc>
      </w:tr>
      <w:tr w:rsidR="00BD51E3" w:rsidRPr="00241625" w14:paraId="77690827" w14:textId="77777777" w:rsidTr="00404E8C">
        <w:trPr>
          <w:trHeight w:val="720"/>
          <w:jc w:val="center"/>
        </w:trPr>
        <w:tc>
          <w:tcPr>
            <w:tcW w:w="5000" w:type="pct"/>
            <w:tcBorders>
              <w:top w:val="single" w:sz="4" w:space="0" w:color="4F81BD"/>
            </w:tcBorders>
            <w:vAlign w:val="center"/>
          </w:tcPr>
          <w:p w14:paraId="19FC9CFE" w14:textId="77777777" w:rsidR="00BD51E3" w:rsidRPr="00241625" w:rsidRDefault="00BD51E3" w:rsidP="00404E8C">
            <w:pPr>
              <w:pStyle w:val="MediumGrid21"/>
              <w:jc w:val="center"/>
              <w:rPr>
                <w:rFonts w:ascii="Times New Roman" w:hAnsi="Times New Roman"/>
                <w:b/>
                <w:smallCaps/>
                <w:color w:val="0070C0"/>
                <w:sz w:val="24"/>
                <w:szCs w:val="24"/>
              </w:rPr>
            </w:pPr>
            <w:r w:rsidRPr="00241625">
              <w:rPr>
                <w:rFonts w:ascii="Times New Roman" w:hAnsi="Times New Roman"/>
                <w:b/>
                <w:smallCaps/>
                <w:color w:val="0070C0"/>
                <w:sz w:val="24"/>
                <w:szCs w:val="24"/>
              </w:rPr>
              <w:t>Confidential</w:t>
            </w:r>
          </w:p>
          <w:p w14:paraId="0B1F6DCE" w14:textId="77777777" w:rsidR="00BD51E3" w:rsidRPr="00241625" w:rsidRDefault="00BD51E3" w:rsidP="00404E8C">
            <w:pPr>
              <w:pStyle w:val="MediumGrid21"/>
              <w:jc w:val="center"/>
              <w:rPr>
                <w:rFonts w:ascii="Times New Roman" w:hAnsi="Times New Roman"/>
                <w:b/>
                <w:smallCaps/>
                <w:color w:val="0070C0"/>
                <w:sz w:val="24"/>
                <w:szCs w:val="24"/>
              </w:rPr>
            </w:pPr>
          </w:p>
          <w:p w14:paraId="4FC42DC9" w14:textId="77777777" w:rsidR="00BD51E3" w:rsidRDefault="00BD51E3" w:rsidP="00404E8C">
            <w:pPr>
              <w:pStyle w:val="MediumGrid21"/>
              <w:jc w:val="center"/>
              <w:rPr>
                <w:rFonts w:ascii="Times New Roman" w:hAnsi="Times New Roman"/>
                <w:b/>
                <w:color w:val="0070C0"/>
                <w:sz w:val="24"/>
                <w:szCs w:val="24"/>
              </w:rPr>
            </w:pPr>
            <w:r w:rsidRPr="00241625">
              <w:rPr>
                <w:rFonts w:ascii="Times New Roman" w:hAnsi="Times New Roman"/>
                <w:b/>
                <w:smallCaps/>
                <w:color w:val="0070C0"/>
                <w:sz w:val="24"/>
                <w:szCs w:val="24"/>
              </w:rPr>
              <w:t>DRAFT FOR COMMENTS ONLY</w:t>
            </w:r>
            <w:r w:rsidRPr="00241625">
              <w:rPr>
                <w:rFonts w:ascii="Times New Roman" w:hAnsi="Times New Roman"/>
                <w:b/>
                <w:color w:val="0070C0"/>
                <w:sz w:val="24"/>
                <w:szCs w:val="24"/>
              </w:rPr>
              <w:t xml:space="preserve"> </w:t>
            </w:r>
          </w:p>
          <w:p w14:paraId="341D4978" w14:textId="77777777" w:rsidR="00BD51E3" w:rsidRDefault="00BD51E3" w:rsidP="00404E8C">
            <w:pPr>
              <w:pStyle w:val="MediumGrid21"/>
              <w:jc w:val="center"/>
              <w:rPr>
                <w:rFonts w:ascii="Times New Roman" w:hAnsi="Times New Roman"/>
                <w:b/>
                <w:color w:val="0070C0"/>
                <w:sz w:val="24"/>
                <w:szCs w:val="24"/>
              </w:rPr>
            </w:pPr>
          </w:p>
          <w:p w14:paraId="62984514" w14:textId="77777777" w:rsidR="00BD51E3" w:rsidRDefault="00BD51E3" w:rsidP="00404E8C">
            <w:pPr>
              <w:pStyle w:val="MediumGrid21"/>
              <w:jc w:val="center"/>
              <w:rPr>
                <w:rFonts w:ascii="Times New Roman" w:hAnsi="Times New Roman"/>
                <w:b/>
                <w:color w:val="0070C0"/>
                <w:sz w:val="24"/>
                <w:szCs w:val="24"/>
              </w:rPr>
            </w:pPr>
          </w:p>
          <w:p w14:paraId="069EEADC" w14:textId="77777777" w:rsidR="00BD51E3" w:rsidRDefault="00BD51E3" w:rsidP="00404E8C">
            <w:pPr>
              <w:pStyle w:val="MediumGrid21"/>
              <w:jc w:val="center"/>
              <w:rPr>
                <w:rFonts w:ascii="Times New Roman" w:hAnsi="Times New Roman"/>
                <w:b/>
                <w:color w:val="0070C0"/>
                <w:sz w:val="24"/>
                <w:szCs w:val="24"/>
              </w:rPr>
            </w:pPr>
          </w:p>
          <w:p w14:paraId="19A49E31" w14:textId="77777777" w:rsidR="00BD51E3" w:rsidRPr="00241625" w:rsidRDefault="00BD51E3" w:rsidP="00404E8C">
            <w:pPr>
              <w:pStyle w:val="MediumGrid21"/>
              <w:jc w:val="center"/>
              <w:rPr>
                <w:rFonts w:ascii="Times New Roman" w:hAnsi="Times New Roman"/>
                <w:b/>
                <w:color w:val="0070C0"/>
                <w:sz w:val="24"/>
                <w:szCs w:val="24"/>
              </w:rPr>
            </w:pPr>
            <w:r>
              <w:rPr>
                <w:rFonts w:ascii="Times New Roman" w:hAnsi="Times New Roman"/>
                <w:b/>
                <w:color w:val="0070C0"/>
                <w:sz w:val="24"/>
                <w:szCs w:val="24"/>
              </w:rPr>
              <w:t xml:space="preserve">August 2015 </w:t>
            </w:r>
          </w:p>
          <w:p w14:paraId="5B556DFA" w14:textId="77777777" w:rsidR="00BD51E3" w:rsidRPr="00241625" w:rsidRDefault="00BD51E3" w:rsidP="00404E8C">
            <w:pPr>
              <w:pStyle w:val="MediumGrid21"/>
              <w:jc w:val="center"/>
              <w:rPr>
                <w:rFonts w:ascii="Times New Roman" w:hAnsi="Times New Roman"/>
                <w:sz w:val="24"/>
                <w:szCs w:val="24"/>
              </w:rPr>
            </w:pPr>
          </w:p>
        </w:tc>
      </w:tr>
    </w:tbl>
    <w:p w14:paraId="7D5AB21B" w14:textId="77777777" w:rsidR="009F5CE3" w:rsidRDefault="009F5CE3" w:rsidP="009F5CE3">
      <w:pPr>
        <w:rPr>
          <w:noProof/>
        </w:rPr>
      </w:pPr>
    </w:p>
    <w:p w14:paraId="1B6FAF6B" w14:textId="77777777" w:rsidR="009F5CE3" w:rsidRDefault="009F5CE3" w:rsidP="009F5CE3">
      <w:pPr>
        <w:rPr>
          <w:noProof/>
        </w:rPr>
      </w:pPr>
    </w:p>
    <w:p w14:paraId="5E2E9006" w14:textId="77777777" w:rsidR="00B409BD" w:rsidRPr="003F04B9" w:rsidRDefault="00B409BD" w:rsidP="00B409BD">
      <w:pPr>
        <w:jc w:val="center"/>
        <w:rPr>
          <w:rFonts w:cs="Times New Roman"/>
          <w:b/>
          <w:noProof/>
          <w:sz w:val="28"/>
          <w:szCs w:val="28"/>
        </w:rPr>
      </w:pPr>
      <w:r w:rsidRPr="003F04B9">
        <w:rPr>
          <w:rFonts w:cs="Times New Roman"/>
          <w:b/>
          <w:noProof/>
          <w:sz w:val="28"/>
          <w:szCs w:val="28"/>
        </w:rPr>
        <w:lastRenderedPageBreak/>
        <w:t>Table of Contents</w:t>
      </w:r>
    </w:p>
    <w:p w14:paraId="3B582CCB" w14:textId="77777777" w:rsidR="00B409BD" w:rsidRDefault="00B409BD" w:rsidP="00B409BD">
      <w:pPr>
        <w:jc w:val="both"/>
        <w:rPr>
          <w:b/>
          <w:noProof/>
          <w:sz w:val="28"/>
          <w:szCs w:val="28"/>
        </w:rPr>
      </w:pPr>
    </w:p>
    <w:p w14:paraId="40BB2FD4" w14:textId="77777777" w:rsidR="00B409BD" w:rsidRPr="003F04B9" w:rsidRDefault="00B409BD" w:rsidP="003F04B9">
      <w:pPr>
        <w:pStyle w:val="TOC1"/>
        <w:tabs>
          <w:tab w:val="left" w:pos="990"/>
        </w:tabs>
        <w:rPr>
          <w:noProof/>
          <w:szCs w:val="24"/>
        </w:rPr>
      </w:pPr>
      <w:r w:rsidRPr="003F04B9">
        <w:rPr>
          <w:szCs w:val="24"/>
        </w:rPr>
        <w:fldChar w:fldCharType="begin"/>
      </w:r>
      <w:r w:rsidRPr="003F04B9">
        <w:rPr>
          <w:szCs w:val="24"/>
        </w:rPr>
        <w:instrText xml:space="preserve"> TOC \o "1-3" \h \z \u </w:instrText>
      </w:r>
      <w:r w:rsidRPr="003F04B9">
        <w:rPr>
          <w:szCs w:val="24"/>
        </w:rPr>
        <w:fldChar w:fldCharType="separate"/>
      </w:r>
      <w:r w:rsidRPr="003F04B9">
        <w:rPr>
          <w:noProof/>
          <w:szCs w:val="24"/>
        </w:rPr>
        <w:t>List of Abbreviations</w:t>
      </w:r>
      <w:r w:rsidRPr="003F04B9">
        <w:rPr>
          <w:noProof/>
          <w:szCs w:val="24"/>
        </w:rPr>
        <w:tab/>
      </w:r>
      <w:r w:rsidR="00A22336">
        <w:rPr>
          <w:noProof/>
          <w:szCs w:val="24"/>
        </w:rPr>
        <w:t>4</w:t>
      </w:r>
    </w:p>
    <w:p w14:paraId="6826A7D0" w14:textId="77777777" w:rsidR="00B409BD" w:rsidRPr="003F04B9" w:rsidRDefault="00B409BD" w:rsidP="003F04B9">
      <w:pPr>
        <w:pStyle w:val="TOC1"/>
        <w:tabs>
          <w:tab w:val="left" w:pos="990"/>
        </w:tabs>
        <w:rPr>
          <w:noProof/>
          <w:szCs w:val="24"/>
        </w:rPr>
      </w:pPr>
      <w:r w:rsidRPr="003F04B9">
        <w:rPr>
          <w:szCs w:val="24"/>
        </w:rPr>
        <w:fldChar w:fldCharType="end"/>
      </w:r>
      <w:r w:rsidR="005A67B4" w:rsidRPr="003F04B9">
        <w:rPr>
          <w:szCs w:val="24"/>
        </w:rPr>
        <w:t xml:space="preserve">I. </w:t>
      </w:r>
      <w:r w:rsidRPr="003F04B9">
        <w:rPr>
          <w:szCs w:val="24"/>
        </w:rPr>
        <w:fldChar w:fldCharType="begin"/>
      </w:r>
      <w:r w:rsidRPr="003F04B9">
        <w:rPr>
          <w:szCs w:val="24"/>
        </w:rPr>
        <w:instrText xml:space="preserve"> TOC \o "1-3" \h \z \u </w:instrText>
      </w:r>
      <w:r w:rsidRPr="003F04B9">
        <w:rPr>
          <w:szCs w:val="24"/>
        </w:rPr>
        <w:fldChar w:fldCharType="separate"/>
      </w:r>
      <w:r w:rsidRPr="003F04B9">
        <w:rPr>
          <w:noProof/>
          <w:szCs w:val="24"/>
        </w:rPr>
        <w:t>Executive Summary</w:t>
      </w:r>
      <w:r w:rsidRPr="003F04B9">
        <w:rPr>
          <w:noProof/>
          <w:szCs w:val="24"/>
        </w:rPr>
        <w:tab/>
      </w:r>
      <w:r w:rsidR="00A22336">
        <w:rPr>
          <w:noProof/>
          <w:szCs w:val="24"/>
        </w:rPr>
        <w:t>6</w:t>
      </w:r>
    </w:p>
    <w:p w14:paraId="2E00C190" w14:textId="099052B4" w:rsidR="00B409BD" w:rsidRPr="003F04B9" w:rsidRDefault="00B409BD" w:rsidP="003F04B9">
      <w:pPr>
        <w:pStyle w:val="TOC1"/>
        <w:tabs>
          <w:tab w:val="left" w:pos="990"/>
        </w:tabs>
        <w:rPr>
          <w:noProof/>
          <w:szCs w:val="24"/>
        </w:rPr>
      </w:pPr>
      <w:r w:rsidRPr="003F04B9">
        <w:rPr>
          <w:szCs w:val="24"/>
        </w:rPr>
        <w:fldChar w:fldCharType="end"/>
      </w:r>
      <w:r w:rsidR="005A67B4" w:rsidRPr="003F04B9">
        <w:rPr>
          <w:szCs w:val="24"/>
        </w:rPr>
        <w:t>II. Introduction</w:t>
      </w:r>
      <w:r w:rsidRPr="003F04B9">
        <w:rPr>
          <w:szCs w:val="24"/>
        </w:rPr>
        <w:fldChar w:fldCharType="begin"/>
      </w:r>
      <w:r w:rsidRPr="003F04B9">
        <w:rPr>
          <w:szCs w:val="24"/>
        </w:rPr>
        <w:instrText xml:space="preserve"> TOC \o "1-3" \h \z \u </w:instrText>
      </w:r>
      <w:r w:rsidRPr="003F04B9">
        <w:rPr>
          <w:szCs w:val="24"/>
        </w:rPr>
        <w:fldChar w:fldCharType="separate"/>
      </w:r>
      <w:r w:rsidRPr="003F04B9">
        <w:rPr>
          <w:noProof/>
          <w:szCs w:val="24"/>
        </w:rPr>
        <w:tab/>
      </w:r>
      <w:r w:rsidR="00AB2B46">
        <w:rPr>
          <w:noProof/>
          <w:szCs w:val="24"/>
        </w:rPr>
        <w:t>10</w:t>
      </w:r>
    </w:p>
    <w:p w14:paraId="6E0E7379" w14:textId="186FFA88" w:rsidR="005A67B4" w:rsidRPr="003F04B9" w:rsidRDefault="00B409BD" w:rsidP="003F04B9">
      <w:pPr>
        <w:pStyle w:val="TOC1"/>
        <w:tabs>
          <w:tab w:val="left" w:pos="990"/>
        </w:tabs>
        <w:rPr>
          <w:noProof/>
          <w:szCs w:val="24"/>
        </w:rPr>
      </w:pPr>
      <w:r w:rsidRPr="003F04B9">
        <w:rPr>
          <w:szCs w:val="24"/>
        </w:rPr>
        <w:fldChar w:fldCharType="end"/>
      </w:r>
      <w:r w:rsidR="005A67B4" w:rsidRPr="003F04B9">
        <w:rPr>
          <w:szCs w:val="24"/>
        </w:rPr>
        <w:t>III. PNG Government Bond &amp; Capital Markets</w:t>
      </w:r>
      <w:r w:rsidR="005A67B4" w:rsidRPr="003F04B9">
        <w:rPr>
          <w:szCs w:val="24"/>
        </w:rPr>
        <w:fldChar w:fldCharType="begin"/>
      </w:r>
      <w:r w:rsidR="005A67B4" w:rsidRPr="003F04B9">
        <w:rPr>
          <w:szCs w:val="24"/>
        </w:rPr>
        <w:instrText xml:space="preserve"> TOC \o "1-3" \h \z \u </w:instrText>
      </w:r>
      <w:r w:rsidR="005A67B4" w:rsidRPr="003F04B9">
        <w:rPr>
          <w:szCs w:val="24"/>
        </w:rPr>
        <w:fldChar w:fldCharType="separate"/>
      </w:r>
      <w:r w:rsidR="005A67B4" w:rsidRPr="003F04B9">
        <w:rPr>
          <w:noProof/>
          <w:szCs w:val="24"/>
        </w:rPr>
        <w:tab/>
      </w:r>
      <w:r w:rsidR="00AB2B46">
        <w:rPr>
          <w:noProof/>
          <w:szCs w:val="24"/>
        </w:rPr>
        <w:t>12</w:t>
      </w:r>
    </w:p>
    <w:p w14:paraId="3B70D1B5" w14:textId="417CFFB4" w:rsidR="009E0304" w:rsidRPr="003F04B9" w:rsidRDefault="005A67B4" w:rsidP="009E0304">
      <w:pPr>
        <w:pStyle w:val="TOC1"/>
        <w:tabs>
          <w:tab w:val="left" w:pos="990"/>
        </w:tabs>
        <w:ind w:left="720"/>
        <w:rPr>
          <w:noProof/>
          <w:szCs w:val="24"/>
        </w:rPr>
      </w:pPr>
      <w:r w:rsidRPr="003F04B9">
        <w:fldChar w:fldCharType="end"/>
      </w:r>
      <w:r w:rsidR="001F5FFF" w:rsidRPr="001F5FFF">
        <w:rPr>
          <w:szCs w:val="24"/>
        </w:rPr>
        <w:t xml:space="preserve"> </w:t>
      </w:r>
      <w:r w:rsidR="009E0304">
        <w:rPr>
          <w:szCs w:val="24"/>
        </w:rPr>
        <w:t>A. Public Debt Portfolio</w:t>
      </w:r>
      <w:r w:rsidR="009E0304" w:rsidRPr="003F04B9">
        <w:rPr>
          <w:szCs w:val="24"/>
        </w:rPr>
        <w:fldChar w:fldCharType="begin"/>
      </w:r>
      <w:r w:rsidR="009E0304" w:rsidRPr="003F04B9">
        <w:rPr>
          <w:szCs w:val="24"/>
        </w:rPr>
        <w:instrText xml:space="preserve"> TOC \o "1-3" \h \z \u </w:instrText>
      </w:r>
      <w:r w:rsidR="009E0304" w:rsidRPr="003F04B9">
        <w:rPr>
          <w:szCs w:val="24"/>
        </w:rPr>
        <w:fldChar w:fldCharType="separate"/>
      </w:r>
      <w:r w:rsidR="009E0304" w:rsidRPr="003F04B9">
        <w:rPr>
          <w:noProof/>
          <w:szCs w:val="24"/>
        </w:rPr>
        <w:tab/>
      </w:r>
      <w:r w:rsidR="00AB2B46">
        <w:rPr>
          <w:noProof/>
          <w:szCs w:val="24"/>
        </w:rPr>
        <w:t>12</w:t>
      </w:r>
    </w:p>
    <w:p w14:paraId="7229E431" w14:textId="51F53948" w:rsidR="009E0304" w:rsidRPr="003F04B9" w:rsidRDefault="009E0304" w:rsidP="009E0304">
      <w:pPr>
        <w:pStyle w:val="TOC1"/>
        <w:tabs>
          <w:tab w:val="left" w:pos="990"/>
        </w:tabs>
        <w:ind w:left="720"/>
        <w:rPr>
          <w:noProof/>
          <w:szCs w:val="24"/>
        </w:rPr>
      </w:pPr>
      <w:r w:rsidRPr="003F04B9">
        <w:fldChar w:fldCharType="end"/>
      </w:r>
      <w:r w:rsidRPr="001F5FFF">
        <w:rPr>
          <w:szCs w:val="24"/>
        </w:rPr>
        <w:t xml:space="preserve"> </w:t>
      </w:r>
      <w:r>
        <w:rPr>
          <w:szCs w:val="24"/>
        </w:rPr>
        <w:t>B. Legal &amp; Regulatory Environment</w:t>
      </w:r>
      <w:r w:rsidRPr="003F04B9">
        <w:rPr>
          <w:szCs w:val="24"/>
        </w:rPr>
        <w:fldChar w:fldCharType="begin"/>
      </w:r>
      <w:r w:rsidRPr="003F04B9">
        <w:rPr>
          <w:szCs w:val="24"/>
        </w:rPr>
        <w:instrText xml:space="preserve"> TOC \o "1-3" \h \z \u </w:instrText>
      </w:r>
      <w:r w:rsidRPr="003F04B9">
        <w:rPr>
          <w:szCs w:val="24"/>
        </w:rPr>
        <w:fldChar w:fldCharType="separate"/>
      </w:r>
      <w:r w:rsidRPr="003F04B9">
        <w:rPr>
          <w:noProof/>
          <w:szCs w:val="24"/>
        </w:rPr>
        <w:tab/>
      </w:r>
      <w:r w:rsidR="009F62E3">
        <w:rPr>
          <w:noProof/>
          <w:szCs w:val="24"/>
        </w:rPr>
        <w:t>15</w:t>
      </w:r>
    </w:p>
    <w:p w14:paraId="4C242B07" w14:textId="38215B65" w:rsidR="009E0304" w:rsidRPr="003F04B9" w:rsidRDefault="009E0304" w:rsidP="009E0304">
      <w:pPr>
        <w:pStyle w:val="TOC1"/>
        <w:tabs>
          <w:tab w:val="left" w:pos="990"/>
        </w:tabs>
        <w:ind w:left="720"/>
        <w:rPr>
          <w:noProof/>
          <w:szCs w:val="24"/>
        </w:rPr>
      </w:pPr>
      <w:r w:rsidRPr="003F04B9">
        <w:fldChar w:fldCharType="end"/>
      </w:r>
      <w:r w:rsidRPr="001F5FFF">
        <w:rPr>
          <w:szCs w:val="24"/>
        </w:rPr>
        <w:t xml:space="preserve"> </w:t>
      </w:r>
      <w:r>
        <w:rPr>
          <w:szCs w:val="24"/>
        </w:rPr>
        <w:t>C. Public Debt Management</w:t>
      </w:r>
      <w:r w:rsidR="00E54BA1">
        <w:rPr>
          <w:szCs w:val="24"/>
        </w:rPr>
        <w:t xml:space="preserve"> Strategy</w:t>
      </w:r>
      <w:r w:rsidRPr="003F04B9">
        <w:rPr>
          <w:szCs w:val="24"/>
        </w:rPr>
        <w:fldChar w:fldCharType="begin"/>
      </w:r>
      <w:r w:rsidRPr="003F04B9">
        <w:rPr>
          <w:szCs w:val="24"/>
        </w:rPr>
        <w:instrText xml:space="preserve"> TOC \o "1-3" \h \z \u </w:instrText>
      </w:r>
      <w:r w:rsidRPr="003F04B9">
        <w:rPr>
          <w:szCs w:val="24"/>
        </w:rPr>
        <w:fldChar w:fldCharType="separate"/>
      </w:r>
      <w:r w:rsidRPr="003F04B9">
        <w:rPr>
          <w:noProof/>
          <w:szCs w:val="24"/>
        </w:rPr>
        <w:tab/>
      </w:r>
      <w:r w:rsidR="00AB2B46">
        <w:rPr>
          <w:noProof/>
          <w:szCs w:val="24"/>
        </w:rPr>
        <w:t>18</w:t>
      </w:r>
    </w:p>
    <w:p w14:paraId="229395DE" w14:textId="323E7BA6" w:rsidR="009E0304" w:rsidRPr="003F04B9" w:rsidRDefault="009E0304" w:rsidP="009E0304">
      <w:pPr>
        <w:pStyle w:val="TOC1"/>
        <w:tabs>
          <w:tab w:val="left" w:pos="990"/>
        </w:tabs>
        <w:ind w:left="720"/>
        <w:rPr>
          <w:noProof/>
          <w:szCs w:val="24"/>
        </w:rPr>
      </w:pPr>
      <w:r w:rsidRPr="003F04B9">
        <w:fldChar w:fldCharType="end"/>
      </w:r>
      <w:r w:rsidRPr="001F5FFF">
        <w:rPr>
          <w:szCs w:val="24"/>
        </w:rPr>
        <w:t xml:space="preserve"> </w:t>
      </w:r>
      <w:r>
        <w:rPr>
          <w:szCs w:val="24"/>
        </w:rPr>
        <w:t>D. Institutional Arrangements</w:t>
      </w:r>
      <w:r w:rsidR="00533ACE">
        <w:rPr>
          <w:szCs w:val="24"/>
        </w:rPr>
        <w:t xml:space="preserve"> &amp; Market Communication</w:t>
      </w:r>
      <w:r w:rsidRPr="003F04B9">
        <w:rPr>
          <w:szCs w:val="24"/>
        </w:rPr>
        <w:fldChar w:fldCharType="begin"/>
      </w:r>
      <w:r w:rsidRPr="003F04B9">
        <w:rPr>
          <w:szCs w:val="24"/>
        </w:rPr>
        <w:instrText xml:space="preserve"> TOC \o "1-3" \h \z \u </w:instrText>
      </w:r>
      <w:r w:rsidRPr="003F04B9">
        <w:rPr>
          <w:szCs w:val="24"/>
        </w:rPr>
        <w:fldChar w:fldCharType="separate"/>
      </w:r>
      <w:r w:rsidRPr="003F04B9">
        <w:rPr>
          <w:noProof/>
          <w:szCs w:val="24"/>
        </w:rPr>
        <w:tab/>
      </w:r>
      <w:r w:rsidR="00AB2B46">
        <w:rPr>
          <w:noProof/>
          <w:szCs w:val="24"/>
        </w:rPr>
        <w:t>22</w:t>
      </w:r>
    </w:p>
    <w:p w14:paraId="12E935D3" w14:textId="5C741859" w:rsidR="009E0304" w:rsidRPr="003F04B9" w:rsidRDefault="009E0304" w:rsidP="009E0304">
      <w:pPr>
        <w:pStyle w:val="TOC1"/>
        <w:tabs>
          <w:tab w:val="left" w:pos="990"/>
        </w:tabs>
        <w:ind w:left="720"/>
        <w:rPr>
          <w:noProof/>
          <w:szCs w:val="24"/>
        </w:rPr>
      </w:pPr>
      <w:r w:rsidRPr="003F04B9">
        <w:fldChar w:fldCharType="end"/>
      </w:r>
      <w:r w:rsidRPr="001F5FFF">
        <w:rPr>
          <w:szCs w:val="24"/>
        </w:rPr>
        <w:t xml:space="preserve"> </w:t>
      </w:r>
      <w:r>
        <w:rPr>
          <w:szCs w:val="24"/>
        </w:rPr>
        <w:t>E. Money Market</w:t>
      </w:r>
      <w:r w:rsidRPr="003F04B9">
        <w:rPr>
          <w:szCs w:val="24"/>
        </w:rPr>
        <w:fldChar w:fldCharType="begin"/>
      </w:r>
      <w:r w:rsidRPr="003F04B9">
        <w:rPr>
          <w:szCs w:val="24"/>
        </w:rPr>
        <w:instrText xml:space="preserve"> TOC \o "1-3" \h \z \u </w:instrText>
      </w:r>
      <w:r w:rsidRPr="003F04B9">
        <w:rPr>
          <w:szCs w:val="24"/>
        </w:rPr>
        <w:fldChar w:fldCharType="separate"/>
      </w:r>
      <w:r w:rsidRPr="003F04B9">
        <w:rPr>
          <w:noProof/>
          <w:szCs w:val="24"/>
        </w:rPr>
        <w:tab/>
      </w:r>
      <w:r w:rsidR="007A1804">
        <w:rPr>
          <w:noProof/>
          <w:szCs w:val="24"/>
        </w:rPr>
        <w:t>26</w:t>
      </w:r>
    </w:p>
    <w:p w14:paraId="17C2A0C5" w14:textId="0ACF5A95" w:rsidR="009E0304" w:rsidRPr="003F04B9" w:rsidRDefault="009E0304" w:rsidP="009E0304">
      <w:pPr>
        <w:pStyle w:val="TOC1"/>
        <w:tabs>
          <w:tab w:val="left" w:pos="990"/>
        </w:tabs>
        <w:ind w:left="720"/>
        <w:rPr>
          <w:noProof/>
          <w:szCs w:val="24"/>
        </w:rPr>
      </w:pPr>
      <w:r w:rsidRPr="003F04B9">
        <w:fldChar w:fldCharType="end"/>
      </w:r>
      <w:r w:rsidRPr="009E0304">
        <w:rPr>
          <w:szCs w:val="24"/>
        </w:rPr>
        <w:t xml:space="preserve"> </w:t>
      </w:r>
      <w:r>
        <w:rPr>
          <w:szCs w:val="24"/>
        </w:rPr>
        <w:t>F. Primary Market</w:t>
      </w:r>
      <w:r w:rsidRPr="003F04B9">
        <w:rPr>
          <w:szCs w:val="24"/>
        </w:rPr>
        <w:fldChar w:fldCharType="begin"/>
      </w:r>
      <w:r w:rsidRPr="003F04B9">
        <w:rPr>
          <w:szCs w:val="24"/>
        </w:rPr>
        <w:instrText xml:space="preserve"> TOC \o "1-3" \h \z \u </w:instrText>
      </w:r>
      <w:r w:rsidRPr="003F04B9">
        <w:rPr>
          <w:szCs w:val="24"/>
        </w:rPr>
        <w:fldChar w:fldCharType="separate"/>
      </w:r>
      <w:r w:rsidRPr="003F04B9">
        <w:rPr>
          <w:noProof/>
          <w:szCs w:val="24"/>
        </w:rPr>
        <w:tab/>
      </w:r>
      <w:r w:rsidR="007A1804">
        <w:rPr>
          <w:noProof/>
          <w:szCs w:val="24"/>
        </w:rPr>
        <w:t>28</w:t>
      </w:r>
    </w:p>
    <w:p w14:paraId="209E5320" w14:textId="1302ACB7" w:rsidR="009E0304" w:rsidRPr="003F04B9" w:rsidRDefault="009E0304" w:rsidP="009E0304">
      <w:pPr>
        <w:pStyle w:val="TOC1"/>
        <w:tabs>
          <w:tab w:val="left" w:pos="990"/>
        </w:tabs>
        <w:ind w:left="720"/>
        <w:rPr>
          <w:noProof/>
          <w:szCs w:val="24"/>
        </w:rPr>
      </w:pPr>
      <w:r w:rsidRPr="003F04B9">
        <w:fldChar w:fldCharType="end"/>
      </w:r>
      <w:r w:rsidRPr="009E0304">
        <w:rPr>
          <w:szCs w:val="24"/>
        </w:rPr>
        <w:t xml:space="preserve"> </w:t>
      </w:r>
      <w:r>
        <w:rPr>
          <w:szCs w:val="24"/>
        </w:rPr>
        <w:t>G. Investor Base</w:t>
      </w:r>
      <w:r w:rsidRPr="003F04B9">
        <w:rPr>
          <w:szCs w:val="24"/>
        </w:rPr>
        <w:fldChar w:fldCharType="begin"/>
      </w:r>
      <w:r w:rsidRPr="003F04B9">
        <w:rPr>
          <w:szCs w:val="24"/>
        </w:rPr>
        <w:instrText xml:space="preserve"> TOC \o "1-3" \h \z \u </w:instrText>
      </w:r>
      <w:r w:rsidRPr="003F04B9">
        <w:rPr>
          <w:szCs w:val="24"/>
        </w:rPr>
        <w:fldChar w:fldCharType="separate"/>
      </w:r>
      <w:r w:rsidRPr="003F04B9">
        <w:rPr>
          <w:noProof/>
          <w:szCs w:val="24"/>
        </w:rPr>
        <w:tab/>
      </w:r>
      <w:r w:rsidR="009F62E3">
        <w:rPr>
          <w:noProof/>
          <w:szCs w:val="24"/>
        </w:rPr>
        <w:t>36</w:t>
      </w:r>
    </w:p>
    <w:p w14:paraId="74E7B6E2" w14:textId="373C58EC" w:rsidR="009E0304" w:rsidRPr="003F04B9" w:rsidRDefault="009E0304" w:rsidP="009E0304">
      <w:pPr>
        <w:pStyle w:val="TOC1"/>
        <w:tabs>
          <w:tab w:val="left" w:pos="990"/>
        </w:tabs>
        <w:ind w:left="720"/>
        <w:rPr>
          <w:noProof/>
          <w:szCs w:val="24"/>
        </w:rPr>
      </w:pPr>
      <w:r w:rsidRPr="003F04B9">
        <w:fldChar w:fldCharType="end"/>
      </w:r>
      <w:r w:rsidRPr="009E0304">
        <w:rPr>
          <w:szCs w:val="24"/>
        </w:rPr>
        <w:t xml:space="preserve"> </w:t>
      </w:r>
      <w:r>
        <w:rPr>
          <w:szCs w:val="24"/>
        </w:rPr>
        <w:t>H. Secondary Market</w:t>
      </w:r>
      <w:r w:rsidRPr="003F04B9">
        <w:rPr>
          <w:szCs w:val="24"/>
        </w:rPr>
        <w:fldChar w:fldCharType="begin"/>
      </w:r>
      <w:r w:rsidRPr="003F04B9">
        <w:rPr>
          <w:szCs w:val="24"/>
        </w:rPr>
        <w:instrText xml:space="preserve"> TOC \o "1-3" \h \z \u </w:instrText>
      </w:r>
      <w:r w:rsidRPr="003F04B9">
        <w:rPr>
          <w:szCs w:val="24"/>
        </w:rPr>
        <w:fldChar w:fldCharType="separate"/>
      </w:r>
      <w:r w:rsidRPr="003F04B9">
        <w:rPr>
          <w:noProof/>
          <w:szCs w:val="24"/>
        </w:rPr>
        <w:tab/>
      </w:r>
      <w:r w:rsidR="009F62E3">
        <w:rPr>
          <w:noProof/>
          <w:szCs w:val="24"/>
        </w:rPr>
        <w:t>42</w:t>
      </w:r>
    </w:p>
    <w:p w14:paraId="785FE825" w14:textId="387D1CD1" w:rsidR="009E0304" w:rsidRDefault="009E0304" w:rsidP="00533ACE">
      <w:pPr>
        <w:pStyle w:val="TOC1"/>
        <w:tabs>
          <w:tab w:val="left" w:pos="990"/>
        </w:tabs>
        <w:ind w:left="720"/>
        <w:rPr>
          <w:szCs w:val="24"/>
        </w:rPr>
      </w:pPr>
      <w:r w:rsidRPr="003F04B9">
        <w:fldChar w:fldCharType="end"/>
      </w:r>
      <w:r w:rsidR="00533ACE">
        <w:rPr>
          <w:szCs w:val="24"/>
        </w:rPr>
        <w:t xml:space="preserve">I. </w:t>
      </w:r>
      <w:r w:rsidR="001E3A1F">
        <w:rPr>
          <w:szCs w:val="24"/>
        </w:rPr>
        <w:t>Market Infrastructure</w:t>
      </w:r>
      <w:r w:rsidRPr="003F04B9">
        <w:rPr>
          <w:szCs w:val="24"/>
        </w:rPr>
        <w:fldChar w:fldCharType="begin"/>
      </w:r>
      <w:r w:rsidRPr="003F04B9">
        <w:rPr>
          <w:szCs w:val="24"/>
        </w:rPr>
        <w:instrText xml:space="preserve"> TOC \o "1-3" \h \z \u </w:instrText>
      </w:r>
      <w:r w:rsidRPr="003F04B9">
        <w:rPr>
          <w:szCs w:val="24"/>
        </w:rPr>
        <w:fldChar w:fldCharType="separate"/>
      </w:r>
      <w:r w:rsidRPr="003F04B9">
        <w:rPr>
          <w:noProof/>
          <w:szCs w:val="24"/>
        </w:rPr>
        <w:tab/>
      </w:r>
      <w:r w:rsidR="009F62E3">
        <w:rPr>
          <w:noProof/>
          <w:szCs w:val="24"/>
        </w:rPr>
        <w:t>47</w:t>
      </w:r>
    </w:p>
    <w:p w14:paraId="1259D0F3" w14:textId="208AF966" w:rsidR="001E3A1F" w:rsidRDefault="00533ACE" w:rsidP="001E3A1F">
      <w:pPr>
        <w:pStyle w:val="TOC1"/>
        <w:tabs>
          <w:tab w:val="left" w:pos="990"/>
        </w:tabs>
        <w:ind w:left="720"/>
        <w:rPr>
          <w:noProof/>
          <w:szCs w:val="24"/>
        </w:rPr>
      </w:pPr>
      <w:r>
        <w:rPr>
          <w:szCs w:val="24"/>
        </w:rPr>
        <w:t>J</w:t>
      </w:r>
      <w:r w:rsidR="001E3A1F">
        <w:rPr>
          <w:szCs w:val="24"/>
        </w:rPr>
        <w:t>. Equity Market</w:t>
      </w:r>
      <w:r w:rsidR="001E3A1F" w:rsidRPr="003F04B9">
        <w:rPr>
          <w:szCs w:val="24"/>
        </w:rPr>
        <w:fldChar w:fldCharType="begin"/>
      </w:r>
      <w:r w:rsidR="001E3A1F" w:rsidRPr="003F04B9">
        <w:rPr>
          <w:szCs w:val="24"/>
        </w:rPr>
        <w:instrText xml:space="preserve"> TOC \o "1-3" \h \z \u </w:instrText>
      </w:r>
      <w:r w:rsidR="001E3A1F" w:rsidRPr="003F04B9">
        <w:rPr>
          <w:szCs w:val="24"/>
        </w:rPr>
        <w:fldChar w:fldCharType="separate"/>
      </w:r>
      <w:r w:rsidR="001E3A1F" w:rsidRPr="003F04B9">
        <w:rPr>
          <w:noProof/>
          <w:szCs w:val="24"/>
        </w:rPr>
        <w:tab/>
      </w:r>
      <w:r w:rsidR="009F62E3">
        <w:rPr>
          <w:noProof/>
          <w:szCs w:val="24"/>
        </w:rPr>
        <w:t>50</w:t>
      </w:r>
    </w:p>
    <w:p w14:paraId="4662EB5A" w14:textId="77777777" w:rsidR="007A1804" w:rsidRPr="007A1804" w:rsidRDefault="007A1804" w:rsidP="007A1804"/>
    <w:p w14:paraId="1AB1B759" w14:textId="77777777" w:rsidR="001E3A1F" w:rsidRPr="001E3A1F" w:rsidRDefault="001E3A1F" w:rsidP="001E3A1F">
      <w:pPr>
        <w:rPr>
          <w:noProof/>
        </w:rPr>
      </w:pPr>
    </w:p>
    <w:p w14:paraId="2ED3863C" w14:textId="77777777" w:rsidR="001E3A1F" w:rsidRPr="001E3A1F" w:rsidRDefault="001E3A1F" w:rsidP="001E3A1F">
      <w:r w:rsidRPr="003F04B9">
        <w:fldChar w:fldCharType="end"/>
      </w:r>
    </w:p>
    <w:p w14:paraId="03D1686B" w14:textId="77777777" w:rsidR="009E0304" w:rsidRDefault="009E0304" w:rsidP="009E0304">
      <w:pPr>
        <w:pStyle w:val="TOC1"/>
        <w:tabs>
          <w:tab w:val="left" w:pos="990"/>
        </w:tabs>
        <w:rPr>
          <w:szCs w:val="24"/>
        </w:rPr>
      </w:pPr>
      <w:r w:rsidRPr="003F04B9">
        <w:fldChar w:fldCharType="end"/>
      </w:r>
      <w:r w:rsidR="00AB1615">
        <w:rPr>
          <w:szCs w:val="24"/>
        </w:rPr>
        <w:t xml:space="preserve">IV. Annex: </w:t>
      </w:r>
    </w:p>
    <w:p w14:paraId="139F8254" w14:textId="22F82665" w:rsidR="00AB1615" w:rsidRPr="00AB1615" w:rsidRDefault="003F57B7" w:rsidP="00AB1615">
      <w:pPr>
        <w:pStyle w:val="TOC1"/>
        <w:tabs>
          <w:tab w:val="left" w:pos="990"/>
        </w:tabs>
        <w:ind w:left="720"/>
        <w:rPr>
          <w:noProof/>
        </w:rPr>
      </w:pPr>
      <w:r>
        <w:rPr>
          <w:szCs w:val="24"/>
        </w:rPr>
        <w:t>1</w:t>
      </w:r>
      <w:r w:rsidR="008F7368">
        <w:rPr>
          <w:szCs w:val="24"/>
        </w:rPr>
        <w:t xml:space="preserve">. Summary of Recommendations </w:t>
      </w:r>
      <w:r w:rsidR="00AB1615">
        <w:rPr>
          <w:szCs w:val="24"/>
        </w:rPr>
        <w:t>with Action Plan</w:t>
      </w:r>
      <w:r w:rsidR="00AB1615" w:rsidRPr="003F04B9">
        <w:rPr>
          <w:szCs w:val="24"/>
        </w:rPr>
        <w:fldChar w:fldCharType="begin"/>
      </w:r>
      <w:r w:rsidR="00AB1615" w:rsidRPr="003F04B9">
        <w:rPr>
          <w:szCs w:val="24"/>
        </w:rPr>
        <w:instrText xml:space="preserve"> TOC \o "1-3" \h \z \u </w:instrText>
      </w:r>
      <w:r w:rsidR="00AB1615" w:rsidRPr="003F04B9">
        <w:rPr>
          <w:szCs w:val="24"/>
        </w:rPr>
        <w:fldChar w:fldCharType="separate"/>
      </w:r>
      <w:r w:rsidR="009F62E3">
        <w:rPr>
          <w:noProof/>
        </w:rPr>
        <w:tab/>
        <w:t>52</w:t>
      </w:r>
    </w:p>
    <w:p w14:paraId="69577F7E" w14:textId="77777777" w:rsidR="009E0304" w:rsidRDefault="00AB1615" w:rsidP="00AB1615">
      <w:pPr>
        <w:pStyle w:val="TOC1"/>
        <w:tabs>
          <w:tab w:val="left" w:pos="990"/>
        </w:tabs>
        <w:rPr>
          <w:szCs w:val="24"/>
        </w:rPr>
      </w:pPr>
      <w:r w:rsidRPr="003F04B9">
        <w:fldChar w:fldCharType="end"/>
      </w:r>
    </w:p>
    <w:p w14:paraId="5CC300B4" w14:textId="77777777" w:rsidR="009E0304" w:rsidRPr="009E0304" w:rsidRDefault="009E0304" w:rsidP="009E0304"/>
    <w:p w14:paraId="3FFEE3DD" w14:textId="77777777" w:rsidR="00DA42F2" w:rsidRDefault="00DA42F2" w:rsidP="00B409BD">
      <w:pPr>
        <w:jc w:val="both"/>
      </w:pPr>
    </w:p>
    <w:p w14:paraId="30787365" w14:textId="77777777" w:rsidR="009E0304" w:rsidRDefault="009E0304" w:rsidP="00B409BD">
      <w:pPr>
        <w:jc w:val="both"/>
      </w:pPr>
    </w:p>
    <w:p w14:paraId="17EFC8EE" w14:textId="77777777" w:rsidR="001E3A1F" w:rsidRDefault="001E3A1F" w:rsidP="00B409BD">
      <w:pPr>
        <w:jc w:val="both"/>
      </w:pPr>
    </w:p>
    <w:p w14:paraId="64FC00C4" w14:textId="77777777" w:rsidR="003C55B5" w:rsidRDefault="003C55B5" w:rsidP="00B409BD">
      <w:pPr>
        <w:jc w:val="both"/>
      </w:pPr>
    </w:p>
    <w:p w14:paraId="32B642C9" w14:textId="77777777" w:rsidR="003C55B5" w:rsidRDefault="003C55B5" w:rsidP="00B409BD">
      <w:pPr>
        <w:jc w:val="both"/>
      </w:pPr>
    </w:p>
    <w:p w14:paraId="152CDBDC" w14:textId="77777777" w:rsidR="00533ACE" w:rsidRDefault="00533ACE" w:rsidP="00B409BD">
      <w:pPr>
        <w:jc w:val="both"/>
      </w:pPr>
    </w:p>
    <w:p w14:paraId="74FB3B4B" w14:textId="77777777" w:rsidR="00533ACE" w:rsidRDefault="00533ACE" w:rsidP="00B409BD">
      <w:pPr>
        <w:jc w:val="both"/>
      </w:pPr>
    </w:p>
    <w:p w14:paraId="651EAB2C" w14:textId="77777777" w:rsidR="00DA42F2" w:rsidRDefault="00DA42F2" w:rsidP="00B409BD">
      <w:pPr>
        <w:jc w:val="both"/>
      </w:pPr>
    </w:p>
    <w:p w14:paraId="47232240" w14:textId="77777777" w:rsidR="00BD51E3" w:rsidRDefault="00BD51E3" w:rsidP="009E0304">
      <w:pPr>
        <w:jc w:val="center"/>
        <w:rPr>
          <w:rFonts w:cs="Times New Roman"/>
          <w:b/>
          <w:noProof/>
          <w:sz w:val="28"/>
          <w:szCs w:val="28"/>
        </w:rPr>
      </w:pPr>
    </w:p>
    <w:p w14:paraId="6499ABCC" w14:textId="77777777" w:rsidR="00B409BD" w:rsidRPr="003F04B9" w:rsidRDefault="00DA42F2" w:rsidP="009E0304">
      <w:pPr>
        <w:jc w:val="center"/>
        <w:rPr>
          <w:rFonts w:cs="Times New Roman"/>
          <w:b/>
          <w:noProof/>
          <w:sz w:val="28"/>
          <w:szCs w:val="28"/>
        </w:rPr>
      </w:pPr>
      <w:r w:rsidRPr="003F04B9">
        <w:rPr>
          <w:rFonts w:cs="Times New Roman"/>
          <w:b/>
          <w:noProof/>
          <w:sz w:val="28"/>
          <w:szCs w:val="28"/>
        </w:rPr>
        <w:t>List of Tables</w:t>
      </w:r>
    </w:p>
    <w:p w14:paraId="766091C4" w14:textId="6B13BF08" w:rsidR="00DA42F2" w:rsidRPr="003F04B9" w:rsidRDefault="00DA42F2" w:rsidP="00DA42F2">
      <w:pPr>
        <w:pStyle w:val="TOC1"/>
        <w:rPr>
          <w:noProof/>
          <w:szCs w:val="24"/>
        </w:rPr>
      </w:pPr>
      <w:r w:rsidRPr="003F04B9">
        <w:rPr>
          <w:szCs w:val="24"/>
        </w:rPr>
        <w:fldChar w:fldCharType="begin"/>
      </w:r>
      <w:r w:rsidRPr="003F04B9">
        <w:rPr>
          <w:szCs w:val="24"/>
        </w:rPr>
        <w:instrText xml:space="preserve"> TOC \o "1-3" \h \z \u </w:instrText>
      </w:r>
      <w:r w:rsidRPr="003F04B9">
        <w:rPr>
          <w:szCs w:val="24"/>
        </w:rPr>
        <w:fldChar w:fldCharType="separate"/>
      </w:r>
      <w:r w:rsidRPr="003F04B9">
        <w:rPr>
          <w:noProof/>
          <w:szCs w:val="24"/>
        </w:rPr>
        <w:t>Table 1</w:t>
      </w:r>
      <w:r w:rsidR="00BF1777">
        <w:rPr>
          <w:noProof/>
          <w:szCs w:val="24"/>
        </w:rPr>
        <w:t>: Public Debt Stock</w:t>
      </w:r>
      <w:r w:rsidRPr="003F04B9">
        <w:rPr>
          <w:noProof/>
          <w:szCs w:val="24"/>
        </w:rPr>
        <w:tab/>
      </w:r>
      <w:r w:rsidR="00AB2B46">
        <w:rPr>
          <w:noProof/>
          <w:szCs w:val="24"/>
        </w:rPr>
        <w:t>12</w:t>
      </w:r>
    </w:p>
    <w:p w14:paraId="71C4F22E" w14:textId="538DB009" w:rsidR="00DA42F2" w:rsidRPr="003F04B9" w:rsidRDefault="00DA42F2" w:rsidP="00DA42F2">
      <w:pPr>
        <w:pStyle w:val="TOC1"/>
        <w:rPr>
          <w:noProof/>
          <w:szCs w:val="24"/>
        </w:rPr>
      </w:pPr>
      <w:r w:rsidRPr="003F04B9">
        <w:rPr>
          <w:szCs w:val="24"/>
        </w:rPr>
        <w:fldChar w:fldCharType="end"/>
      </w:r>
      <w:r w:rsidRPr="003F04B9">
        <w:rPr>
          <w:szCs w:val="24"/>
        </w:rPr>
        <w:fldChar w:fldCharType="begin"/>
      </w:r>
      <w:r w:rsidRPr="003F04B9">
        <w:rPr>
          <w:szCs w:val="24"/>
        </w:rPr>
        <w:instrText xml:space="preserve"> TOC \o "1-3" \h \z \u </w:instrText>
      </w:r>
      <w:r w:rsidRPr="003F04B9">
        <w:rPr>
          <w:szCs w:val="24"/>
        </w:rPr>
        <w:fldChar w:fldCharType="separate"/>
      </w:r>
      <w:r w:rsidRPr="003F04B9">
        <w:rPr>
          <w:noProof/>
          <w:szCs w:val="24"/>
        </w:rPr>
        <w:t>Table 2</w:t>
      </w:r>
      <w:r w:rsidR="00BF1777">
        <w:rPr>
          <w:noProof/>
          <w:szCs w:val="24"/>
        </w:rPr>
        <w:t>:</w:t>
      </w:r>
      <w:r w:rsidRPr="003F04B9">
        <w:rPr>
          <w:noProof/>
          <w:szCs w:val="24"/>
        </w:rPr>
        <w:t xml:space="preserve"> </w:t>
      </w:r>
      <w:r w:rsidR="00E145D5">
        <w:rPr>
          <w:noProof/>
          <w:szCs w:val="24"/>
        </w:rPr>
        <w:t>Summary of Repayments &amp; Government New Issuance</w:t>
      </w:r>
      <w:r w:rsidRPr="003F04B9">
        <w:rPr>
          <w:noProof/>
          <w:szCs w:val="24"/>
        </w:rPr>
        <w:tab/>
      </w:r>
      <w:r w:rsidR="009F62E3">
        <w:rPr>
          <w:noProof/>
          <w:szCs w:val="24"/>
        </w:rPr>
        <w:t>28</w:t>
      </w:r>
    </w:p>
    <w:p w14:paraId="2B8BB0CB" w14:textId="56BF0734" w:rsidR="00BF1777" w:rsidRPr="003F04B9" w:rsidRDefault="00DA42F2" w:rsidP="00BF1777">
      <w:pPr>
        <w:pStyle w:val="TOC1"/>
        <w:rPr>
          <w:noProof/>
          <w:szCs w:val="24"/>
        </w:rPr>
      </w:pPr>
      <w:r w:rsidRPr="003F04B9">
        <w:fldChar w:fldCharType="end"/>
      </w:r>
      <w:r w:rsidR="00BF1777" w:rsidRPr="003F04B9">
        <w:rPr>
          <w:szCs w:val="24"/>
        </w:rPr>
        <w:fldChar w:fldCharType="begin"/>
      </w:r>
      <w:r w:rsidR="00BF1777" w:rsidRPr="003F04B9">
        <w:rPr>
          <w:szCs w:val="24"/>
        </w:rPr>
        <w:instrText xml:space="preserve"> TOC \o "1-3" \h \z \u </w:instrText>
      </w:r>
      <w:r w:rsidR="00BF1777" w:rsidRPr="003F04B9">
        <w:rPr>
          <w:szCs w:val="24"/>
        </w:rPr>
        <w:fldChar w:fldCharType="separate"/>
      </w:r>
      <w:r w:rsidR="00BF1777">
        <w:rPr>
          <w:noProof/>
          <w:szCs w:val="24"/>
        </w:rPr>
        <w:t>Table 3:</w:t>
      </w:r>
      <w:r w:rsidR="00BF1777" w:rsidRPr="003F04B9">
        <w:rPr>
          <w:noProof/>
          <w:szCs w:val="24"/>
        </w:rPr>
        <w:t xml:space="preserve"> </w:t>
      </w:r>
      <w:r w:rsidR="00E145D5">
        <w:rPr>
          <w:noProof/>
          <w:szCs w:val="24"/>
        </w:rPr>
        <w:t>Nasfund Investment Guidelines</w:t>
      </w:r>
      <w:r w:rsidR="00BF1777" w:rsidRPr="003F04B9">
        <w:rPr>
          <w:noProof/>
          <w:szCs w:val="24"/>
        </w:rPr>
        <w:tab/>
      </w:r>
      <w:r w:rsidR="009F62E3">
        <w:rPr>
          <w:noProof/>
          <w:szCs w:val="24"/>
        </w:rPr>
        <w:t>38</w:t>
      </w:r>
    </w:p>
    <w:p w14:paraId="290A2CBF" w14:textId="60A35988" w:rsidR="001A4928" w:rsidRPr="003F04B9" w:rsidRDefault="00BF1777" w:rsidP="001A4928">
      <w:pPr>
        <w:pStyle w:val="TOC1"/>
        <w:rPr>
          <w:noProof/>
          <w:szCs w:val="24"/>
        </w:rPr>
      </w:pPr>
      <w:r w:rsidRPr="003F04B9">
        <w:fldChar w:fldCharType="end"/>
      </w:r>
      <w:r w:rsidR="001A4928" w:rsidRPr="003F04B9">
        <w:rPr>
          <w:szCs w:val="24"/>
        </w:rPr>
        <w:fldChar w:fldCharType="begin"/>
      </w:r>
      <w:r w:rsidR="001A4928" w:rsidRPr="003F04B9">
        <w:rPr>
          <w:szCs w:val="24"/>
        </w:rPr>
        <w:instrText xml:space="preserve"> TOC \o "1-3" \h \z \u </w:instrText>
      </w:r>
      <w:r w:rsidR="001A4928" w:rsidRPr="003F04B9">
        <w:rPr>
          <w:szCs w:val="24"/>
        </w:rPr>
        <w:fldChar w:fldCharType="separate"/>
      </w:r>
      <w:r w:rsidR="001A4928">
        <w:rPr>
          <w:noProof/>
          <w:szCs w:val="24"/>
        </w:rPr>
        <w:t>Table 4:</w:t>
      </w:r>
      <w:r w:rsidR="001A4928" w:rsidRPr="003F04B9">
        <w:rPr>
          <w:noProof/>
          <w:szCs w:val="24"/>
        </w:rPr>
        <w:t xml:space="preserve"> </w:t>
      </w:r>
      <w:r w:rsidR="00E145D5">
        <w:rPr>
          <w:noProof/>
          <w:szCs w:val="24"/>
        </w:rPr>
        <w:t>Nambawan Fund Investment Guidelines</w:t>
      </w:r>
      <w:r w:rsidR="001A4928" w:rsidRPr="003F04B9">
        <w:rPr>
          <w:noProof/>
          <w:szCs w:val="24"/>
        </w:rPr>
        <w:tab/>
      </w:r>
      <w:r w:rsidR="009F62E3">
        <w:rPr>
          <w:noProof/>
          <w:szCs w:val="24"/>
        </w:rPr>
        <w:t>39</w:t>
      </w:r>
    </w:p>
    <w:p w14:paraId="06635C6E" w14:textId="77777777" w:rsidR="00BF1777" w:rsidRPr="00DA42F2" w:rsidRDefault="001A4928" w:rsidP="001A4928">
      <w:pPr>
        <w:rPr>
          <w:b/>
          <w:noProof/>
          <w:sz w:val="28"/>
          <w:szCs w:val="28"/>
        </w:rPr>
      </w:pPr>
      <w:r w:rsidRPr="003F04B9">
        <w:rPr>
          <w:rFonts w:cs="Times New Roman"/>
        </w:rPr>
        <w:fldChar w:fldCharType="end"/>
      </w:r>
    </w:p>
    <w:p w14:paraId="2CDD8E8D" w14:textId="77777777" w:rsidR="00DA42F2" w:rsidRPr="00DA42F2" w:rsidRDefault="00DA42F2" w:rsidP="00DA42F2">
      <w:pPr>
        <w:rPr>
          <w:b/>
          <w:noProof/>
          <w:sz w:val="28"/>
          <w:szCs w:val="28"/>
        </w:rPr>
      </w:pPr>
    </w:p>
    <w:p w14:paraId="4AB27F9A" w14:textId="77777777" w:rsidR="00DA42F2" w:rsidRPr="003F04B9" w:rsidRDefault="00DA42F2" w:rsidP="00DA42F2">
      <w:pPr>
        <w:jc w:val="center"/>
        <w:rPr>
          <w:rFonts w:cs="Times New Roman"/>
          <w:b/>
          <w:noProof/>
          <w:sz w:val="28"/>
          <w:szCs w:val="28"/>
        </w:rPr>
      </w:pPr>
      <w:r w:rsidRPr="003F04B9">
        <w:rPr>
          <w:rFonts w:cs="Times New Roman"/>
          <w:b/>
          <w:noProof/>
          <w:sz w:val="28"/>
          <w:szCs w:val="28"/>
        </w:rPr>
        <w:t>List of Figures</w:t>
      </w:r>
    </w:p>
    <w:p w14:paraId="3CD6229E" w14:textId="2D16DE22" w:rsidR="00DA42F2" w:rsidRPr="003F04B9" w:rsidRDefault="00DA42F2" w:rsidP="00DA42F2">
      <w:pPr>
        <w:pStyle w:val="TOC1"/>
        <w:rPr>
          <w:szCs w:val="24"/>
        </w:rPr>
      </w:pPr>
      <w:r w:rsidRPr="003F04B9">
        <w:rPr>
          <w:szCs w:val="24"/>
        </w:rPr>
        <w:fldChar w:fldCharType="begin"/>
      </w:r>
      <w:r w:rsidRPr="003F04B9">
        <w:rPr>
          <w:szCs w:val="24"/>
        </w:rPr>
        <w:instrText xml:space="preserve"> TOC \o "1-3" \h \z \u </w:instrText>
      </w:r>
      <w:r w:rsidRPr="003F04B9">
        <w:rPr>
          <w:szCs w:val="24"/>
        </w:rPr>
        <w:fldChar w:fldCharType="separate"/>
      </w:r>
      <w:r w:rsidRPr="003F04B9">
        <w:rPr>
          <w:szCs w:val="24"/>
        </w:rPr>
        <w:t>Figure 1</w:t>
      </w:r>
      <w:r w:rsidR="00BF1777">
        <w:rPr>
          <w:szCs w:val="24"/>
        </w:rPr>
        <w:t xml:space="preserve">: Domestic </w:t>
      </w:r>
      <w:r w:rsidR="005649C2">
        <w:rPr>
          <w:szCs w:val="24"/>
        </w:rPr>
        <w:t xml:space="preserve">Government </w:t>
      </w:r>
      <w:r w:rsidR="00BF1777">
        <w:rPr>
          <w:szCs w:val="24"/>
        </w:rPr>
        <w:t>Debt Composition</w:t>
      </w:r>
      <w:r w:rsidRPr="003F04B9">
        <w:rPr>
          <w:szCs w:val="24"/>
        </w:rPr>
        <w:tab/>
      </w:r>
      <w:r w:rsidR="00AB2B46">
        <w:rPr>
          <w:szCs w:val="24"/>
        </w:rPr>
        <w:t>14</w:t>
      </w:r>
    </w:p>
    <w:p w14:paraId="7DFAE1E9" w14:textId="01600F84" w:rsidR="00DA42F2" w:rsidRPr="003F04B9" w:rsidRDefault="00DA42F2" w:rsidP="00DA42F2">
      <w:pPr>
        <w:pStyle w:val="TOC1"/>
        <w:rPr>
          <w:szCs w:val="24"/>
        </w:rPr>
      </w:pPr>
      <w:r w:rsidRPr="003F04B9">
        <w:rPr>
          <w:szCs w:val="24"/>
        </w:rPr>
        <w:fldChar w:fldCharType="end"/>
      </w:r>
      <w:r w:rsidRPr="003F04B9">
        <w:rPr>
          <w:szCs w:val="24"/>
        </w:rPr>
        <w:fldChar w:fldCharType="begin"/>
      </w:r>
      <w:r w:rsidRPr="003F04B9">
        <w:rPr>
          <w:szCs w:val="24"/>
        </w:rPr>
        <w:instrText xml:space="preserve"> TOC \o "1-3" \h \z \u </w:instrText>
      </w:r>
      <w:r w:rsidRPr="003F04B9">
        <w:rPr>
          <w:szCs w:val="24"/>
        </w:rPr>
        <w:fldChar w:fldCharType="separate"/>
      </w:r>
      <w:r w:rsidR="005649C2">
        <w:rPr>
          <w:szCs w:val="24"/>
        </w:rPr>
        <w:t>Figu</w:t>
      </w:r>
      <w:r w:rsidR="001A4928">
        <w:rPr>
          <w:szCs w:val="24"/>
        </w:rPr>
        <w:t>r</w:t>
      </w:r>
      <w:r w:rsidR="005649C2">
        <w:rPr>
          <w:szCs w:val="24"/>
        </w:rPr>
        <w:t>e 2: Government Fiscal Operations</w:t>
      </w:r>
      <w:r w:rsidRPr="003F04B9">
        <w:rPr>
          <w:szCs w:val="24"/>
        </w:rPr>
        <w:tab/>
      </w:r>
      <w:r w:rsidR="00AB2B46">
        <w:rPr>
          <w:szCs w:val="24"/>
        </w:rPr>
        <w:t>15</w:t>
      </w:r>
    </w:p>
    <w:p w14:paraId="1CB991AC" w14:textId="0F17A510" w:rsidR="00BF1777" w:rsidRPr="003F04B9" w:rsidRDefault="00DA42F2" w:rsidP="00BF1777">
      <w:pPr>
        <w:pStyle w:val="TOC1"/>
        <w:rPr>
          <w:noProof/>
          <w:szCs w:val="24"/>
        </w:rPr>
      </w:pPr>
      <w:r w:rsidRPr="003F04B9">
        <w:rPr>
          <w:szCs w:val="24"/>
        </w:rPr>
        <w:fldChar w:fldCharType="end"/>
      </w:r>
      <w:r w:rsidR="00BF1777" w:rsidRPr="003F04B9">
        <w:rPr>
          <w:szCs w:val="24"/>
        </w:rPr>
        <w:fldChar w:fldCharType="begin"/>
      </w:r>
      <w:r w:rsidR="00BF1777" w:rsidRPr="003F04B9">
        <w:rPr>
          <w:szCs w:val="24"/>
        </w:rPr>
        <w:instrText xml:space="preserve"> TOC \o "1-3" \h \z \u </w:instrText>
      </w:r>
      <w:r w:rsidR="00BF1777" w:rsidRPr="003F04B9">
        <w:rPr>
          <w:szCs w:val="24"/>
        </w:rPr>
        <w:fldChar w:fldCharType="separate"/>
      </w:r>
      <w:r w:rsidR="00BF1777">
        <w:rPr>
          <w:noProof/>
          <w:szCs w:val="24"/>
        </w:rPr>
        <w:t>Figu</w:t>
      </w:r>
      <w:r w:rsidR="001A4928">
        <w:rPr>
          <w:noProof/>
          <w:szCs w:val="24"/>
        </w:rPr>
        <w:t>r</w:t>
      </w:r>
      <w:r w:rsidR="00BF1777">
        <w:rPr>
          <w:noProof/>
          <w:szCs w:val="24"/>
        </w:rPr>
        <w:t>e 3:</w:t>
      </w:r>
      <w:r w:rsidR="00BF1777" w:rsidRPr="003F04B9">
        <w:rPr>
          <w:noProof/>
          <w:szCs w:val="24"/>
        </w:rPr>
        <w:t xml:space="preserve"> </w:t>
      </w:r>
      <w:r w:rsidR="00E145D5">
        <w:rPr>
          <w:noProof/>
          <w:szCs w:val="24"/>
        </w:rPr>
        <w:t>Government Bond Yield Curve</w:t>
      </w:r>
      <w:r w:rsidR="00BF1777" w:rsidRPr="003F04B9">
        <w:rPr>
          <w:noProof/>
          <w:szCs w:val="24"/>
        </w:rPr>
        <w:tab/>
      </w:r>
      <w:r w:rsidR="009F62E3">
        <w:rPr>
          <w:noProof/>
          <w:szCs w:val="24"/>
        </w:rPr>
        <w:t>31</w:t>
      </w:r>
    </w:p>
    <w:p w14:paraId="161627DD" w14:textId="1968EB00" w:rsidR="001A4928" w:rsidRPr="003F04B9" w:rsidRDefault="00BF1777" w:rsidP="001A4928">
      <w:pPr>
        <w:pStyle w:val="TOC1"/>
        <w:rPr>
          <w:noProof/>
          <w:szCs w:val="24"/>
        </w:rPr>
      </w:pPr>
      <w:r w:rsidRPr="003F04B9">
        <w:rPr>
          <w:szCs w:val="24"/>
        </w:rPr>
        <w:fldChar w:fldCharType="end"/>
      </w:r>
      <w:r w:rsidR="001A4928" w:rsidRPr="003F04B9">
        <w:rPr>
          <w:szCs w:val="24"/>
        </w:rPr>
        <w:fldChar w:fldCharType="begin"/>
      </w:r>
      <w:r w:rsidR="001A4928" w:rsidRPr="003F04B9">
        <w:rPr>
          <w:szCs w:val="24"/>
        </w:rPr>
        <w:instrText xml:space="preserve"> TOC \o "1-3" \h \z \u </w:instrText>
      </w:r>
      <w:r w:rsidR="001A4928" w:rsidRPr="003F04B9">
        <w:rPr>
          <w:szCs w:val="24"/>
        </w:rPr>
        <w:fldChar w:fldCharType="separate"/>
      </w:r>
      <w:r w:rsidR="001A4928">
        <w:rPr>
          <w:noProof/>
          <w:szCs w:val="24"/>
        </w:rPr>
        <w:t>Figure 4:</w:t>
      </w:r>
      <w:r w:rsidR="001A4928" w:rsidRPr="003F04B9">
        <w:rPr>
          <w:noProof/>
          <w:szCs w:val="24"/>
        </w:rPr>
        <w:t xml:space="preserve"> </w:t>
      </w:r>
      <w:r w:rsidR="00E145D5">
        <w:rPr>
          <w:noProof/>
          <w:szCs w:val="24"/>
        </w:rPr>
        <w:t>Net Subscriptions of Government Securities</w:t>
      </w:r>
      <w:r w:rsidR="001A4928" w:rsidRPr="003F04B9">
        <w:rPr>
          <w:noProof/>
          <w:szCs w:val="24"/>
        </w:rPr>
        <w:tab/>
      </w:r>
      <w:r w:rsidR="009F62E3">
        <w:rPr>
          <w:noProof/>
          <w:szCs w:val="24"/>
        </w:rPr>
        <w:t>32</w:t>
      </w:r>
    </w:p>
    <w:p w14:paraId="6B03FB7C" w14:textId="13A5B086" w:rsidR="001A4928" w:rsidRPr="003F04B9" w:rsidRDefault="001A4928" w:rsidP="001A4928">
      <w:pPr>
        <w:pStyle w:val="TOC1"/>
        <w:rPr>
          <w:noProof/>
          <w:szCs w:val="24"/>
        </w:rPr>
      </w:pPr>
      <w:r w:rsidRPr="003F04B9">
        <w:rPr>
          <w:szCs w:val="24"/>
        </w:rPr>
        <w:fldChar w:fldCharType="end"/>
      </w:r>
      <w:r w:rsidRPr="003F04B9">
        <w:rPr>
          <w:szCs w:val="24"/>
        </w:rPr>
        <w:fldChar w:fldCharType="begin"/>
      </w:r>
      <w:r w:rsidRPr="003F04B9">
        <w:rPr>
          <w:szCs w:val="24"/>
        </w:rPr>
        <w:instrText xml:space="preserve"> TOC \o "1-3" \h \z \u </w:instrText>
      </w:r>
      <w:r w:rsidRPr="003F04B9">
        <w:rPr>
          <w:szCs w:val="24"/>
        </w:rPr>
        <w:fldChar w:fldCharType="separate"/>
      </w:r>
      <w:r>
        <w:rPr>
          <w:noProof/>
          <w:szCs w:val="24"/>
        </w:rPr>
        <w:t>Figure 5:</w:t>
      </w:r>
      <w:r w:rsidRPr="003F04B9">
        <w:rPr>
          <w:noProof/>
          <w:szCs w:val="24"/>
        </w:rPr>
        <w:t xml:space="preserve"> </w:t>
      </w:r>
      <w:r w:rsidR="00E145D5">
        <w:rPr>
          <w:noProof/>
          <w:szCs w:val="24"/>
        </w:rPr>
        <w:t xml:space="preserve">Net Subscriptions of Government Securities &amp; BPNG </w:t>
      </w:r>
      <w:r w:rsidR="00021DDF">
        <w:rPr>
          <w:noProof/>
          <w:szCs w:val="24"/>
        </w:rPr>
        <w:t>"</w:t>
      </w:r>
      <w:r w:rsidR="00E145D5">
        <w:rPr>
          <w:noProof/>
          <w:szCs w:val="24"/>
        </w:rPr>
        <w:t>Slack</w:t>
      </w:r>
      <w:r w:rsidR="00021DDF">
        <w:rPr>
          <w:noProof/>
          <w:szCs w:val="24"/>
        </w:rPr>
        <w:t>"</w:t>
      </w:r>
      <w:r w:rsidRPr="003F04B9">
        <w:rPr>
          <w:noProof/>
          <w:szCs w:val="24"/>
        </w:rPr>
        <w:tab/>
      </w:r>
      <w:r w:rsidR="009F62E3">
        <w:rPr>
          <w:noProof/>
          <w:szCs w:val="24"/>
        </w:rPr>
        <w:t>32</w:t>
      </w:r>
    </w:p>
    <w:p w14:paraId="12D3B8B7" w14:textId="650B98AF" w:rsidR="001A4928" w:rsidRPr="003F04B9" w:rsidRDefault="001A4928" w:rsidP="001A4928">
      <w:pPr>
        <w:pStyle w:val="TOC1"/>
        <w:rPr>
          <w:noProof/>
          <w:szCs w:val="24"/>
        </w:rPr>
      </w:pPr>
      <w:r w:rsidRPr="003F04B9">
        <w:rPr>
          <w:szCs w:val="24"/>
        </w:rPr>
        <w:fldChar w:fldCharType="end"/>
      </w:r>
      <w:r w:rsidRPr="003F04B9">
        <w:rPr>
          <w:szCs w:val="24"/>
        </w:rPr>
        <w:fldChar w:fldCharType="begin"/>
      </w:r>
      <w:r w:rsidRPr="003F04B9">
        <w:rPr>
          <w:szCs w:val="24"/>
        </w:rPr>
        <w:instrText xml:space="preserve"> TOC \o "1-3" \h \z \u </w:instrText>
      </w:r>
      <w:r w:rsidRPr="003F04B9">
        <w:rPr>
          <w:szCs w:val="24"/>
        </w:rPr>
        <w:fldChar w:fldCharType="separate"/>
      </w:r>
      <w:r>
        <w:rPr>
          <w:noProof/>
          <w:szCs w:val="24"/>
        </w:rPr>
        <w:t>Figure 6:</w:t>
      </w:r>
      <w:r w:rsidRPr="003F04B9">
        <w:rPr>
          <w:noProof/>
          <w:szCs w:val="24"/>
        </w:rPr>
        <w:t xml:space="preserve"> </w:t>
      </w:r>
      <w:r w:rsidR="00E145D5">
        <w:rPr>
          <w:noProof/>
          <w:szCs w:val="24"/>
        </w:rPr>
        <w:t>Central Bank Bills Compostiton</w:t>
      </w:r>
      <w:r w:rsidRPr="003F04B9">
        <w:rPr>
          <w:noProof/>
          <w:szCs w:val="24"/>
        </w:rPr>
        <w:tab/>
      </w:r>
      <w:r w:rsidR="009F62E3">
        <w:rPr>
          <w:noProof/>
          <w:szCs w:val="24"/>
        </w:rPr>
        <w:t>35</w:t>
      </w:r>
    </w:p>
    <w:p w14:paraId="5F61F0E9" w14:textId="3471AF76" w:rsidR="001A4928" w:rsidRPr="003F04B9" w:rsidRDefault="001A4928" w:rsidP="001A4928">
      <w:pPr>
        <w:pStyle w:val="TOC1"/>
        <w:rPr>
          <w:noProof/>
          <w:szCs w:val="24"/>
        </w:rPr>
      </w:pPr>
      <w:r w:rsidRPr="003F04B9">
        <w:rPr>
          <w:szCs w:val="24"/>
        </w:rPr>
        <w:fldChar w:fldCharType="end"/>
      </w:r>
      <w:r w:rsidRPr="003F04B9">
        <w:rPr>
          <w:szCs w:val="24"/>
        </w:rPr>
        <w:fldChar w:fldCharType="begin"/>
      </w:r>
      <w:r w:rsidRPr="003F04B9">
        <w:rPr>
          <w:szCs w:val="24"/>
        </w:rPr>
        <w:instrText xml:space="preserve"> TOC \o "1-3" \h \z \u </w:instrText>
      </w:r>
      <w:r w:rsidRPr="003F04B9">
        <w:rPr>
          <w:szCs w:val="24"/>
        </w:rPr>
        <w:fldChar w:fldCharType="separate"/>
      </w:r>
      <w:r>
        <w:rPr>
          <w:noProof/>
          <w:szCs w:val="24"/>
        </w:rPr>
        <w:t>Figure 7:</w:t>
      </w:r>
      <w:r w:rsidRPr="003F04B9">
        <w:rPr>
          <w:noProof/>
          <w:szCs w:val="24"/>
        </w:rPr>
        <w:t xml:space="preserve"> </w:t>
      </w:r>
      <w:r w:rsidR="00E145D5">
        <w:rPr>
          <w:noProof/>
          <w:szCs w:val="24"/>
        </w:rPr>
        <w:t>Holdings of Government Securities</w:t>
      </w:r>
      <w:r w:rsidRPr="003F04B9">
        <w:rPr>
          <w:noProof/>
          <w:szCs w:val="24"/>
        </w:rPr>
        <w:tab/>
      </w:r>
      <w:r w:rsidR="009F62E3">
        <w:rPr>
          <w:noProof/>
          <w:szCs w:val="24"/>
        </w:rPr>
        <w:t>37</w:t>
      </w:r>
    </w:p>
    <w:p w14:paraId="4B640FD5" w14:textId="2B002ECF" w:rsidR="001A4928" w:rsidRPr="003F04B9" w:rsidRDefault="001A4928" w:rsidP="001A4928">
      <w:pPr>
        <w:pStyle w:val="TOC1"/>
        <w:rPr>
          <w:noProof/>
          <w:szCs w:val="24"/>
        </w:rPr>
      </w:pPr>
      <w:r w:rsidRPr="003F04B9">
        <w:rPr>
          <w:szCs w:val="24"/>
        </w:rPr>
        <w:fldChar w:fldCharType="end"/>
      </w:r>
      <w:r w:rsidRPr="003F04B9">
        <w:rPr>
          <w:szCs w:val="24"/>
        </w:rPr>
        <w:fldChar w:fldCharType="begin"/>
      </w:r>
      <w:r w:rsidRPr="003F04B9">
        <w:rPr>
          <w:szCs w:val="24"/>
        </w:rPr>
        <w:instrText xml:space="preserve"> TOC \o "1-3" \h \z \u </w:instrText>
      </w:r>
      <w:r w:rsidRPr="003F04B9">
        <w:rPr>
          <w:szCs w:val="24"/>
        </w:rPr>
        <w:fldChar w:fldCharType="separate"/>
      </w:r>
      <w:r>
        <w:rPr>
          <w:noProof/>
          <w:szCs w:val="24"/>
        </w:rPr>
        <w:t>Figure 8:</w:t>
      </w:r>
      <w:r w:rsidRPr="003F04B9">
        <w:rPr>
          <w:noProof/>
          <w:szCs w:val="24"/>
        </w:rPr>
        <w:t xml:space="preserve"> </w:t>
      </w:r>
      <w:r w:rsidR="00E145D5">
        <w:rPr>
          <w:noProof/>
          <w:szCs w:val="24"/>
        </w:rPr>
        <w:t>Holdings of T-bills &amp; GIS</w:t>
      </w:r>
      <w:r w:rsidRPr="003F04B9">
        <w:rPr>
          <w:noProof/>
          <w:szCs w:val="24"/>
        </w:rPr>
        <w:tab/>
      </w:r>
      <w:r w:rsidR="009F62E3">
        <w:rPr>
          <w:noProof/>
          <w:szCs w:val="24"/>
        </w:rPr>
        <w:t>37</w:t>
      </w:r>
    </w:p>
    <w:p w14:paraId="58C03B83" w14:textId="27BCD942" w:rsidR="001A4928" w:rsidRPr="003F04B9" w:rsidRDefault="001A4928" w:rsidP="001A4928">
      <w:pPr>
        <w:pStyle w:val="TOC1"/>
        <w:rPr>
          <w:noProof/>
          <w:szCs w:val="24"/>
        </w:rPr>
      </w:pPr>
      <w:r w:rsidRPr="003F04B9">
        <w:rPr>
          <w:szCs w:val="24"/>
        </w:rPr>
        <w:fldChar w:fldCharType="end"/>
      </w:r>
      <w:r w:rsidRPr="003F04B9">
        <w:rPr>
          <w:szCs w:val="24"/>
        </w:rPr>
        <w:fldChar w:fldCharType="begin"/>
      </w:r>
      <w:r w:rsidRPr="003F04B9">
        <w:rPr>
          <w:szCs w:val="24"/>
        </w:rPr>
        <w:instrText xml:space="preserve"> TOC \o "1-3" \h \z \u </w:instrText>
      </w:r>
      <w:r w:rsidRPr="003F04B9">
        <w:rPr>
          <w:szCs w:val="24"/>
        </w:rPr>
        <w:fldChar w:fldCharType="separate"/>
      </w:r>
      <w:r>
        <w:rPr>
          <w:noProof/>
          <w:szCs w:val="24"/>
        </w:rPr>
        <w:t>Figure 9:</w:t>
      </w:r>
      <w:r w:rsidRPr="003F04B9">
        <w:rPr>
          <w:noProof/>
          <w:szCs w:val="24"/>
        </w:rPr>
        <w:t xml:space="preserve"> </w:t>
      </w:r>
      <w:r w:rsidR="00E145D5">
        <w:rPr>
          <w:noProof/>
          <w:szCs w:val="24"/>
        </w:rPr>
        <w:t>Holdings of Central Bank Bills</w:t>
      </w:r>
      <w:r w:rsidRPr="003F04B9">
        <w:rPr>
          <w:noProof/>
          <w:szCs w:val="24"/>
        </w:rPr>
        <w:tab/>
      </w:r>
      <w:r w:rsidR="009F62E3">
        <w:rPr>
          <w:noProof/>
          <w:szCs w:val="24"/>
        </w:rPr>
        <w:t>38</w:t>
      </w:r>
    </w:p>
    <w:p w14:paraId="61B80853" w14:textId="498C5CC2" w:rsidR="001A4928" w:rsidRPr="003F04B9" w:rsidRDefault="001A4928" w:rsidP="001A4928">
      <w:pPr>
        <w:pStyle w:val="TOC1"/>
        <w:rPr>
          <w:noProof/>
          <w:szCs w:val="24"/>
        </w:rPr>
      </w:pPr>
      <w:r w:rsidRPr="003F04B9">
        <w:rPr>
          <w:szCs w:val="24"/>
        </w:rPr>
        <w:fldChar w:fldCharType="end"/>
      </w:r>
      <w:r w:rsidRPr="003F04B9">
        <w:rPr>
          <w:szCs w:val="24"/>
        </w:rPr>
        <w:fldChar w:fldCharType="begin"/>
      </w:r>
      <w:r w:rsidRPr="003F04B9">
        <w:rPr>
          <w:szCs w:val="24"/>
        </w:rPr>
        <w:instrText xml:space="preserve"> TOC \o "1-3" \h \z \u </w:instrText>
      </w:r>
      <w:r w:rsidRPr="003F04B9">
        <w:rPr>
          <w:szCs w:val="24"/>
        </w:rPr>
        <w:fldChar w:fldCharType="separate"/>
      </w:r>
      <w:r>
        <w:rPr>
          <w:noProof/>
          <w:szCs w:val="24"/>
        </w:rPr>
        <w:t>Figue 10:</w:t>
      </w:r>
      <w:r w:rsidRPr="003F04B9">
        <w:rPr>
          <w:noProof/>
          <w:szCs w:val="24"/>
        </w:rPr>
        <w:t xml:space="preserve"> </w:t>
      </w:r>
      <w:r w:rsidR="00E145D5">
        <w:rPr>
          <w:noProof/>
          <w:szCs w:val="24"/>
        </w:rPr>
        <w:t>Investor Habitiat</w:t>
      </w:r>
      <w:r w:rsidRPr="003F04B9">
        <w:rPr>
          <w:noProof/>
          <w:szCs w:val="24"/>
        </w:rPr>
        <w:tab/>
      </w:r>
      <w:r w:rsidR="009F62E3">
        <w:rPr>
          <w:noProof/>
          <w:szCs w:val="24"/>
        </w:rPr>
        <w:t>41</w:t>
      </w:r>
    </w:p>
    <w:p w14:paraId="6C243C08" w14:textId="77777777" w:rsidR="00BF1777" w:rsidRDefault="001A4928" w:rsidP="00BF1777">
      <w:pPr>
        <w:pStyle w:val="TOC1"/>
        <w:rPr>
          <w:noProof/>
          <w:sz w:val="28"/>
          <w:szCs w:val="28"/>
        </w:rPr>
      </w:pPr>
      <w:r w:rsidRPr="003F04B9">
        <w:rPr>
          <w:szCs w:val="24"/>
        </w:rPr>
        <w:fldChar w:fldCharType="end"/>
      </w:r>
    </w:p>
    <w:p w14:paraId="451FDD9E" w14:textId="77777777" w:rsidR="00B409BD" w:rsidRPr="00261AA9" w:rsidRDefault="00261AA9" w:rsidP="00261AA9">
      <w:pPr>
        <w:jc w:val="center"/>
        <w:rPr>
          <w:rFonts w:cs="Times New Roman"/>
          <w:b/>
          <w:noProof/>
          <w:sz w:val="28"/>
          <w:szCs w:val="28"/>
        </w:rPr>
      </w:pPr>
      <w:r>
        <w:rPr>
          <w:rFonts w:cs="Times New Roman"/>
          <w:b/>
          <w:noProof/>
          <w:sz w:val="28"/>
          <w:szCs w:val="28"/>
        </w:rPr>
        <w:t>List of Boxes</w:t>
      </w:r>
    </w:p>
    <w:p w14:paraId="7285C0A6" w14:textId="0E40CB0F" w:rsidR="00261AA9" w:rsidRPr="003F04B9" w:rsidRDefault="00261AA9" w:rsidP="00261AA9">
      <w:pPr>
        <w:pStyle w:val="TOC1"/>
        <w:rPr>
          <w:noProof/>
          <w:szCs w:val="24"/>
        </w:rPr>
      </w:pPr>
      <w:r>
        <w:rPr>
          <w:noProof/>
          <w:szCs w:val="24"/>
        </w:rPr>
        <w:t>Box</w:t>
      </w:r>
      <w:r w:rsidRPr="003F04B9">
        <w:rPr>
          <w:noProof/>
          <w:szCs w:val="24"/>
        </w:rPr>
        <w:t>1</w:t>
      </w:r>
      <w:r>
        <w:rPr>
          <w:noProof/>
          <w:szCs w:val="24"/>
        </w:rPr>
        <w:t>: Austraclear Features</w:t>
      </w:r>
      <w:r w:rsidRPr="003F04B9">
        <w:rPr>
          <w:noProof/>
          <w:szCs w:val="24"/>
        </w:rPr>
        <w:tab/>
      </w:r>
      <w:r w:rsidR="009F62E3">
        <w:rPr>
          <w:noProof/>
          <w:szCs w:val="24"/>
        </w:rPr>
        <w:t>49</w:t>
      </w:r>
    </w:p>
    <w:p w14:paraId="103CA0BC" w14:textId="77777777" w:rsidR="00B409BD" w:rsidRDefault="00B409BD" w:rsidP="009F5CE3">
      <w:pPr>
        <w:rPr>
          <w:noProof/>
          <w:sz w:val="28"/>
          <w:szCs w:val="28"/>
        </w:rPr>
      </w:pPr>
    </w:p>
    <w:p w14:paraId="00EF0CAA" w14:textId="77777777" w:rsidR="009E0304" w:rsidRDefault="009E0304" w:rsidP="009F5CE3">
      <w:pPr>
        <w:rPr>
          <w:noProof/>
          <w:sz w:val="28"/>
          <w:szCs w:val="28"/>
        </w:rPr>
      </w:pPr>
    </w:p>
    <w:p w14:paraId="6DC58A5B" w14:textId="77777777" w:rsidR="009E0304" w:rsidRDefault="009E0304" w:rsidP="009F5CE3">
      <w:pPr>
        <w:rPr>
          <w:noProof/>
          <w:sz w:val="28"/>
          <w:szCs w:val="28"/>
        </w:rPr>
      </w:pPr>
    </w:p>
    <w:p w14:paraId="4E59B288" w14:textId="77777777" w:rsidR="009E0304" w:rsidRDefault="009E0304" w:rsidP="009F5CE3">
      <w:pPr>
        <w:rPr>
          <w:noProof/>
          <w:sz w:val="28"/>
          <w:szCs w:val="28"/>
        </w:rPr>
      </w:pPr>
    </w:p>
    <w:p w14:paraId="6222D8F5" w14:textId="77777777" w:rsidR="009E0304" w:rsidRDefault="009E0304" w:rsidP="009F5CE3">
      <w:pPr>
        <w:rPr>
          <w:noProof/>
          <w:sz w:val="28"/>
          <w:szCs w:val="28"/>
        </w:rPr>
      </w:pPr>
    </w:p>
    <w:p w14:paraId="6DEA08C4" w14:textId="77777777" w:rsidR="009E0304" w:rsidRDefault="009E0304" w:rsidP="009F5CE3">
      <w:pPr>
        <w:rPr>
          <w:noProof/>
          <w:sz w:val="28"/>
          <w:szCs w:val="28"/>
        </w:rPr>
      </w:pPr>
    </w:p>
    <w:p w14:paraId="465F3845" w14:textId="77777777" w:rsidR="009E0304" w:rsidRDefault="009E0304" w:rsidP="009F5CE3">
      <w:pPr>
        <w:rPr>
          <w:noProof/>
          <w:sz w:val="28"/>
          <w:szCs w:val="28"/>
        </w:rPr>
      </w:pPr>
    </w:p>
    <w:p w14:paraId="4DFE8CA7" w14:textId="77777777" w:rsidR="00532269" w:rsidRPr="003F04B9" w:rsidRDefault="00532269" w:rsidP="00E0299A">
      <w:pPr>
        <w:pStyle w:val="Heading1"/>
        <w:numPr>
          <w:ilvl w:val="0"/>
          <w:numId w:val="0"/>
        </w:numPr>
        <w:spacing w:after="240"/>
      </w:pPr>
      <w:bookmarkStart w:id="0" w:name="_Toc260398905"/>
      <w:bookmarkStart w:id="1" w:name="_Toc280258114"/>
      <w:bookmarkStart w:id="2" w:name="_Toc290646747"/>
      <w:bookmarkStart w:id="3" w:name="_Toc294360000"/>
      <w:bookmarkStart w:id="4" w:name="_Toc294360032"/>
      <w:bookmarkStart w:id="5" w:name="_Toc298084635"/>
      <w:r w:rsidRPr="003F04B9">
        <w:lastRenderedPageBreak/>
        <w:t>List of Abbreviation</w:t>
      </w:r>
      <w:bookmarkEnd w:id="0"/>
      <w:bookmarkEnd w:id="1"/>
      <w:bookmarkEnd w:id="2"/>
      <w:r w:rsidRPr="003F04B9">
        <w:t>s</w:t>
      </w:r>
      <w:bookmarkEnd w:id="3"/>
      <w:bookmarkEnd w:id="4"/>
      <w:bookmarkEnd w:id="5"/>
    </w:p>
    <w:tbl>
      <w:tblPr>
        <w:tblStyle w:val="TableGrid"/>
        <w:tblW w:w="0" w:type="auto"/>
        <w:jc w:val="center"/>
        <w:tblLook w:val="04A0" w:firstRow="1" w:lastRow="0" w:firstColumn="1" w:lastColumn="0" w:noHBand="0" w:noVBand="1"/>
      </w:tblPr>
      <w:tblGrid>
        <w:gridCol w:w="1776"/>
        <w:gridCol w:w="6831"/>
      </w:tblGrid>
      <w:tr w:rsidR="00532269" w14:paraId="133AD246"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3966B77D" w14:textId="77777777" w:rsidR="00532269" w:rsidRPr="003F04B9" w:rsidRDefault="001717F8" w:rsidP="00532269">
            <w:pPr>
              <w:rPr>
                <w:rFonts w:ascii="Times New Roman" w:hAnsi="Times New Roman" w:cs="Times New Roman"/>
              </w:rPr>
            </w:pPr>
            <w:r>
              <w:rPr>
                <w:rFonts w:ascii="Times New Roman" w:hAnsi="Times New Roman" w:cs="Times New Roman"/>
              </w:rPr>
              <w:t>ALM</w:t>
            </w:r>
          </w:p>
        </w:tc>
        <w:tc>
          <w:tcPr>
            <w:tcW w:w="6831" w:type="dxa"/>
            <w:tcBorders>
              <w:top w:val="single" w:sz="4" w:space="0" w:color="auto"/>
              <w:left w:val="single" w:sz="4" w:space="0" w:color="auto"/>
              <w:bottom w:val="single" w:sz="4" w:space="0" w:color="auto"/>
              <w:right w:val="single" w:sz="4" w:space="0" w:color="auto"/>
            </w:tcBorders>
          </w:tcPr>
          <w:p w14:paraId="349A0190" w14:textId="77777777" w:rsidR="00532269" w:rsidRPr="003F04B9" w:rsidRDefault="001717F8" w:rsidP="00532269">
            <w:pPr>
              <w:rPr>
                <w:rFonts w:ascii="Times New Roman" w:hAnsi="Times New Roman" w:cs="Times New Roman"/>
              </w:rPr>
            </w:pPr>
            <w:r>
              <w:rPr>
                <w:rFonts w:ascii="Times New Roman" w:hAnsi="Times New Roman" w:cs="Times New Roman"/>
              </w:rPr>
              <w:t>Asset Liability Management</w:t>
            </w:r>
          </w:p>
        </w:tc>
      </w:tr>
      <w:tr w:rsidR="001717F8" w14:paraId="23806EA0"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52A17C8E" w14:textId="77777777" w:rsidR="001717F8" w:rsidRPr="001717F8" w:rsidRDefault="001717F8" w:rsidP="00532269">
            <w:pPr>
              <w:rPr>
                <w:rFonts w:ascii="Times New Roman" w:hAnsi="Times New Roman" w:cs="Times New Roman"/>
              </w:rPr>
            </w:pPr>
            <w:r w:rsidRPr="001717F8">
              <w:rPr>
                <w:rFonts w:ascii="Times New Roman" w:hAnsi="Times New Roman" w:cs="Times New Roman"/>
              </w:rPr>
              <w:t>ANZ</w:t>
            </w:r>
          </w:p>
        </w:tc>
        <w:tc>
          <w:tcPr>
            <w:tcW w:w="6831" w:type="dxa"/>
            <w:tcBorders>
              <w:top w:val="single" w:sz="4" w:space="0" w:color="auto"/>
              <w:left w:val="single" w:sz="4" w:space="0" w:color="auto"/>
              <w:bottom w:val="single" w:sz="4" w:space="0" w:color="auto"/>
              <w:right w:val="single" w:sz="4" w:space="0" w:color="auto"/>
            </w:tcBorders>
          </w:tcPr>
          <w:p w14:paraId="1834251C" w14:textId="77777777" w:rsidR="001717F8" w:rsidRPr="001717F8" w:rsidRDefault="001717F8" w:rsidP="00532269">
            <w:pPr>
              <w:rPr>
                <w:rFonts w:ascii="Times New Roman" w:hAnsi="Times New Roman" w:cs="Times New Roman"/>
              </w:rPr>
            </w:pPr>
            <w:r w:rsidRPr="001717F8">
              <w:rPr>
                <w:rFonts w:ascii="Times New Roman" w:hAnsi="Times New Roman" w:cs="Times New Roman"/>
              </w:rPr>
              <w:t xml:space="preserve">Australian &amp; New Zealand Bank </w:t>
            </w:r>
          </w:p>
        </w:tc>
      </w:tr>
      <w:tr w:rsidR="00E0299A" w14:paraId="1D96DDBB"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1120C698" w14:textId="77777777" w:rsidR="00E0299A" w:rsidRPr="00E0299A" w:rsidRDefault="00E0299A" w:rsidP="00532269">
            <w:pPr>
              <w:rPr>
                <w:rFonts w:ascii="Times New Roman" w:hAnsi="Times New Roman" w:cs="Times New Roman"/>
              </w:rPr>
            </w:pPr>
            <w:r w:rsidRPr="00E0299A">
              <w:rPr>
                <w:rFonts w:ascii="Times New Roman" w:hAnsi="Times New Roman" w:cs="Times New Roman"/>
              </w:rPr>
              <w:t>ATM</w:t>
            </w:r>
          </w:p>
        </w:tc>
        <w:tc>
          <w:tcPr>
            <w:tcW w:w="6831" w:type="dxa"/>
            <w:tcBorders>
              <w:top w:val="single" w:sz="4" w:space="0" w:color="auto"/>
              <w:left w:val="single" w:sz="4" w:space="0" w:color="auto"/>
              <w:bottom w:val="single" w:sz="4" w:space="0" w:color="auto"/>
              <w:right w:val="single" w:sz="4" w:space="0" w:color="auto"/>
            </w:tcBorders>
          </w:tcPr>
          <w:p w14:paraId="316F8039" w14:textId="77777777" w:rsidR="00E0299A" w:rsidRPr="00E0299A" w:rsidRDefault="00E0299A" w:rsidP="00532269">
            <w:pPr>
              <w:rPr>
                <w:rFonts w:ascii="Times New Roman" w:hAnsi="Times New Roman" w:cs="Times New Roman"/>
              </w:rPr>
            </w:pPr>
            <w:r w:rsidRPr="00E0299A">
              <w:rPr>
                <w:rFonts w:ascii="Times New Roman" w:hAnsi="Times New Roman" w:cs="Times New Roman"/>
              </w:rPr>
              <w:t>Average Time to Maturity</w:t>
            </w:r>
          </w:p>
        </w:tc>
      </w:tr>
      <w:tr w:rsidR="001717F8" w14:paraId="0FF08FE3"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3FC50C4D" w14:textId="77777777" w:rsidR="001717F8" w:rsidRPr="001717F8" w:rsidRDefault="001717F8" w:rsidP="00532269">
            <w:pPr>
              <w:rPr>
                <w:rFonts w:ascii="Times New Roman" w:hAnsi="Times New Roman" w:cs="Times New Roman"/>
              </w:rPr>
            </w:pPr>
            <w:r w:rsidRPr="001717F8">
              <w:rPr>
                <w:rFonts w:ascii="Times New Roman" w:hAnsi="Times New Roman" w:cs="Times New Roman"/>
              </w:rPr>
              <w:t>A$</w:t>
            </w:r>
          </w:p>
        </w:tc>
        <w:tc>
          <w:tcPr>
            <w:tcW w:w="6831" w:type="dxa"/>
            <w:tcBorders>
              <w:top w:val="single" w:sz="4" w:space="0" w:color="auto"/>
              <w:left w:val="single" w:sz="4" w:space="0" w:color="auto"/>
              <w:bottom w:val="single" w:sz="4" w:space="0" w:color="auto"/>
              <w:right w:val="single" w:sz="4" w:space="0" w:color="auto"/>
            </w:tcBorders>
          </w:tcPr>
          <w:p w14:paraId="0575B6C0" w14:textId="77777777" w:rsidR="001717F8" w:rsidRPr="001717F8" w:rsidRDefault="001717F8" w:rsidP="00532269">
            <w:pPr>
              <w:rPr>
                <w:rFonts w:ascii="Times New Roman" w:hAnsi="Times New Roman" w:cs="Times New Roman"/>
              </w:rPr>
            </w:pPr>
            <w:r w:rsidRPr="001717F8">
              <w:rPr>
                <w:rFonts w:ascii="Times New Roman" w:hAnsi="Times New Roman" w:cs="Times New Roman"/>
              </w:rPr>
              <w:t>Australia Dollar</w:t>
            </w:r>
          </w:p>
        </w:tc>
      </w:tr>
      <w:tr w:rsidR="001717F8" w14:paraId="359CCBDD"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1ACCAA6B" w14:textId="77777777" w:rsidR="001717F8" w:rsidRPr="003F04B9" w:rsidRDefault="001717F8" w:rsidP="00532269">
            <w:pPr>
              <w:rPr>
                <w:rFonts w:cs="Times New Roman"/>
              </w:rPr>
            </w:pPr>
            <w:r w:rsidRPr="003F04B9">
              <w:rPr>
                <w:rFonts w:ascii="Times New Roman" w:hAnsi="Times New Roman" w:cs="Times New Roman"/>
              </w:rPr>
              <w:t>BPNG</w:t>
            </w:r>
          </w:p>
        </w:tc>
        <w:tc>
          <w:tcPr>
            <w:tcW w:w="6831" w:type="dxa"/>
            <w:tcBorders>
              <w:top w:val="single" w:sz="4" w:space="0" w:color="auto"/>
              <w:left w:val="single" w:sz="4" w:space="0" w:color="auto"/>
              <w:bottom w:val="single" w:sz="4" w:space="0" w:color="auto"/>
              <w:right w:val="single" w:sz="4" w:space="0" w:color="auto"/>
            </w:tcBorders>
          </w:tcPr>
          <w:p w14:paraId="38B29221" w14:textId="77777777" w:rsidR="001717F8" w:rsidRPr="003F04B9" w:rsidRDefault="001717F8" w:rsidP="00532269">
            <w:pPr>
              <w:rPr>
                <w:rFonts w:cs="Times New Roman"/>
              </w:rPr>
            </w:pPr>
            <w:r w:rsidRPr="003F04B9">
              <w:rPr>
                <w:rFonts w:ascii="Times New Roman" w:hAnsi="Times New Roman" w:cs="Times New Roman"/>
              </w:rPr>
              <w:t>Bank of Papua New Guinea</w:t>
            </w:r>
          </w:p>
        </w:tc>
      </w:tr>
      <w:tr w:rsidR="00532269" w14:paraId="60615DC5"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5B45A8E3" w14:textId="77777777" w:rsidR="00532269" w:rsidRPr="003F04B9" w:rsidRDefault="00532269" w:rsidP="00532269">
            <w:pPr>
              <w:rPr>
                <w:rFonts w:ascii="Times New Roman" w:hAnsi="Times New Roman" w:cs="Times New Roman"/>
              </w:rPr>
            </w:pPr>
            <w:r w:rsidRPr="003F04B9">
              <w:rPr>
                <w:rFonts w:ascii="Times New Roman" w:hAnsi="Times New Roman" w:cs="Times New Roman"/>
              </w:rPr>
              <w:t>BSP</w:t>
            </w:r>
          </w:p>
        </w:tc>
        <w:tc>
          <w:tcPr>
            <w:tcW w:w="6831" w:type="dxa"/>
            <w:tcBorders>
              <w:top w:val="single" w:sz="4" w:space="0" w:color="auto"/>
              <w:left w:val="single" w:sz="4" w:space="0" w:color="auto"/>
              <w:bottom w:val="single" w:sz="4" w:space="0" w:color="auto"/>
              <w:right w:val="single" w:sz="4" w:space="0" w:color="auto"/>
            </w:tcBorders>
          </w:tcPr>
          <w:p w14:paraId="1A6CF0DF" w14:textId="77777777" w:rsidR="00532269" w:rsidRPr="003F04B9" w:rsidRDefault="00532269" w:rsidP="00532269">
            <w:pPr>
              <w:rPr>
                <w:rFonts w:ascii="Times New Roman" w:hAnsi="Times New Roman" w:cs="Times New Roman"/>
              </w:rPr>
            </w:pPr>
            <w:r w:rsidRPr="003F04B9">
              <w:rPr>
                <w:rFonts w:ascii="Times New Roman" w:hAnsi="Times New Roman" w:cs="Times New Roman"/>
              </w:rPr>
              <w:t>Bank of South Pacific</w:t>
            </w:r>
          </w:p>
        </w:tc>
      </w:tr>
      <w:tr w:rsidR="00532269" w14:paraId="6B3C5567"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125748B4" w14:textId="77777777" w:rsidR="00532269" w:rsidRPr="003F04B9" w:rsidRDefault="00A4627A" w:rsidP="00532269">
            <w:pPr>
              <w:rPr>
                <w:rFonts w:ascii="Times New Roman" w:hAnsi="Times New Roman" w:cs="Times New Roman"/>
              </w:rPr>
            </w:pPr>
            <w:r>
              <w:rPr>
                <w:rFonts w:ascii="Times New Roman" w:hAnsi="Times New Roman" w:cs="Times New Roman"/>
              </w:rPr>
              <w:t>CBBs</w:t>
            </w:r>
          </w:p>
        </w:tc>
        <w:tc>
          <w:tcPr>
            <w:tcW w:w="6831" w:type="dxa"/>
            <w:tcBorders>
              <w:top w:val="single" w:sz="4" w:space="0" w:color="auto"/>
              <w:left w:val="single" w:sz="4" w:space="0" w:color="auto"/>
              <w:bottom w:val="single" w:sz="4" w:space="0" w:color="auto"/>
              <w:right w:val="single" w:sz="4" w:space="0" w:color="auto"/>
            </w:tcBorders>
          </w:tcPr>
          <w:p w14:paraId="398CD7B7" w14:textId="77777777" w:rsidR="00532269" w:rsidRPr="003F04B9" w:rsidRDefault="00532269" w:rsidP="00532269">
            <w:pPr>
              <w:rPr>
                <w:rFonts w:ascii="Times New Roman" w:hAnsi="Times New Roman" w:cs="Times New Roman"/>
              </w:rPr>
            </w:pPr>
            <w:r w:rsidRPr="003F04B9">
              <w:rPr>
                <w:rFonts w:ascii="Times New Roman" w:hAnsi="Times New Roman" w:cs="Times New Roman"/>
              </w:rPr>
              <w:t>Central Bank Bills</w:t>
            </w:r>
          </w:p>
        </w:tc>
      </w:tr>
      <w:tr w:rsidR="009C0184" w14:paraId="1C9641D6"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04A54D07" w14:textId="77777777" w:rsidR="009C0184" w:rsidRPr="009C0184" w:rsidRDefault="009C0184" w:rsidP="00532269">
            <w:pPr>
              <w:rPr>
                <w:rFonts w:ascii="Times New Roman" w:hAnsi="Times New Roman" w:cs="Times New Roman"/>
              </w:rPr>
            </w:pPr>
            <w:r w:rsidRPr="009C0184">
              <w:rPr>
                <w:rFonts w:ascii="Times New Roman" w:hAnsi="Times New Roman" w:cs="Times New Roman"/>
              </w:rPr>
              <w:t>CRR</w:t>
            </w:r>
          </w:p>
        </w:tc>
        <w:tc>
          <w:tcPr>
            <w:tcW w:w="6831" w:type="dxa"/>
            <w:tcBorders>
              <w:top w:val="single" w:sz="4" w:space="0" w:color="auto"/>
              <w:left w:val="single" w:sz="4" w:space="0" w:color="auto"/>
              <w:bottom w:val="single" w:sz="4" w:space="0" w:color="auto"/>
              <w:right w:val="single" w:sz="4" w:space="0" w:color="auto"/>
            </w:tcBorders>
          </w:tcPr>
          <w:p w14:paraId="5488BBB7" w14:textId="77777777" w:rsidR="009C0184" w:rsidRPr="009C0184" w:rsidRDefault="009C0184" w:rsidP="00532269">
            <w:pPr>
              <w:rPr>
                <w:rFonts w:ascii="Times New Roman" w:hAnsi="Times New Roman" w:cs="Times New Roman"/>
              </w:rPr>
            </w:pPr>
            <w:r w:rsidRPr="009C0184">
              <w:rPr>
                <w:rFonts w:ascii="Times New Roman" w:hAnsi="Times New Roman" w:cs="Times New Roman"/>
              </w:rPr>
              <w:t>Cash Reserve Requirement</w:t>
            </w:r>
          </w:p>
        </w:tc>
      </w:tr>
      <w:tr w:rsidR="00933610" w14:paraId="3022A811"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4B6866DD" w14:textId="77777777" w:rsidR="00933610" w:rsidRPr="009C0184" w:rsidRDefault="00933610" w:rsidP="00532269">
            <w:pPr>
              <w:rPr>
                <w:rFonts w:cs="Times New Roman"/>
              </w:rPr>
            </w:pPr>
            <w:r>
              <w:rPr>
                <w:rFonts w:cs="Times New Roman"/>
              </w:rPr>
              <w:t>CSD</w:t>
            </w:r>
          </w:p>
        </w:tc>
        <w:tc>
          <w:tcPr>
            <w:tcW w:w="6831" w:type="dxa"/>
            <w:tcBorders>
              <w:top w:val="single" w:sz="4" w:space="0" w:color="auto"/>
              <w:left w:val="single" w:sz="4" w:space="0" w:color="auto"/>
              <w:bottom w:val="single" w:sz="4" w:space="0" w:color="auto"/>
              <w:right w:val="single" w:sz="4" w:space="0" w:color="auto"/>
            </w:tcBorders>
          </w:tcPr>
          <w:p w14:paraId="7F3F07FE" w14:textId="77777777" w:rsidR="00933610" w:rsidRPr="009C0184" w:rsidRDefault="00933610" w:rsidP="00532269">
            <w:pPr>
              <w:rPr>
                <w:rFonts w:cs="Times New Roman"/>
              </w:rPr>
            </w:pPr>
            <w:r w:rsidRPr="00933610">
              <w:rPr>
                <w:rFonts w:cs="Times New Roman"/>
              </w:rPr>
              <w:t>Central Securities Depository</w:t>
            </w:r>
          </w:p>
        </w:tc>
      </w:tr>
      <w:tr w:rsidR="00532269" w14:paraId="463AA0F0"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3C965357" w14:textId="77777777" w:rsidR="00532269" w:rsidRPr="003F04B9" w:rsidRDefault="00532269" w:rsidP="00532269">
            <w:pPr>
              <w:rPr>
                <w:rFonts w:ascii="Times New Roman" w:hAnsi="Times New Roman" w:cs="Times New Roman"/>
              </w:rPr>
            </w:pPr>
            <w:proofErr w:type="spellStart"/>
            <w:r w:rsidRPr="003F04B9">
              <w:rPr>
                <w:rFonts w:ascii="Times New Roman" w:hAnsi="Times New Roman" w:cs="Times New Roman"/>
              </w:rPr>
              <w:t>DeM</w:t>
            </w:r>
            <w:proofErr w:type="spellEnd"/>
          </w:p>
        </w:tc>
        <w:tc>
          <w:tcPr>
            <w:tcW w:w="6831" w:type="dxa"/>
            <w:tcBorders>
              <w:top w:val="single" w:sz="4" w:space="0" w:color="auto"/>
              <w:left w:val="single" w:sz="4" w:space="0" w:color="auto"/>
              <w:bottom w:val="single" w:sz="4" w:space="0" w:color="auto"/>
              <w:right w:val="single" w:sz="4" w:space="0" w:color="auto"/>
            </w:tcBorders>
          </w:tcPr>
          <w:p w14:paraId="6E080F2A" w14:textId="77777777" w:rsidR="00532269" w:rsidRPr="003F04B9" w:rsidRDefault="00532269" w:rsidP="00532269">
            <w:pPr>
              <w:rPr>
                <w:rFonts w:ascii="Times New Roman" w:hAnsi="Times New Roman" w:cs="Times New Roman"/>
              </w:rPr>
            </w:pPr>
            <w:r w:rsidRPr="003F04B9">
              <w:rPr>
                <w:rFonts w:ascii="Times New Roman" w:hAnsi="Times New Roman" w:cs="Times New Roman"/>
              </w:rPr>
              <w:t>Debt Management</w:t>
            </w:r>
          </w:p>
        </w:tc>
      </w:tr>
      <w:tr w:rsidR="003D235A" w14:paraId="78341DE7"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523CF991" w14:textId="77777777" w:rsidR="003D235A" w:rsidRPr="003D235A" w:rsidRDefault="003D235A" w:rsidP="00532269">
            <w:pPr>
              <w:rPr>
                <w:rFonts w:ascii="Times New Roman" w:hAnsi="Times New Roman" w:cs="Times New Roman"/>
              </w:rPr>
            </w:pPr>
            <w:r w:rsidRPr="003D235A">
              <w:rPr>
                <w:rFonts w:ascii="Times New Roman" w:hAnsi="Times New Roman" w:cs="Times New Roman"/>
              </w:rPr>
              <w:t>DAP</w:t>
            </w:r>
          </w:p>
        </w:tc>
        <w:tc>
          <w:tcPr>
            <w:tcW w:w="6831" w:type="dxa"/>
            <w:tcBorders>
              <w:top w:val="single" w:sz="4" w:space="0" w:color="auto"/>
              <w:left w:val="single" w:sz="4" w:space="0" w:color="auto"/>
              <w:bottom w:val="single" w:sz="4" w:space="0" w:color="auto"/>
              <w:right w:val="single" w:sz="4" w:space="0" w:color="auto"/>
            </w:tcBorders>
          </w:tcPr>
          <w:p w14:paraId="083F1C7A" w14:textId="77777777" w:rsidR="003D235A" w:rsidRPr="003D235A" w:rsidRDefault="003D235A" w:rsidP="00532269">
            <w:pPr>
              <w:rPr>
                <w:rFonts w:ascii="Times New Roman" w:hAnsi="Times New Roman" w:cs="Times New Roman"/>
              </w:rPr>
            </w:pPr>
            <w:r>
              <w:rPr>
                <w:rFonts w:ascii="Times New Roman" w:hAnsi="Times New Roman" w:cs="Times New Roman"/>
              </w:rPr>
              <w:t>Dealer Advisory Panel</w:t>
            </w:r>
          </w:p>
        </w:tc>
      </w:tr>
      <w:tr w:rsidR="003D235A" w14:paraId="1819C791"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026C1FDB" w14:textId="77777777" w:rsidR="003D235A" w:rsidRPr="003D235A" w:rsidRDefault="003D235A" w:rsidP="00532269">
            <w:pPr>
              <w:rPr>
                <w:rFonts w:ascii="Times New Roman" w:hAnsi="Times New Roman" w:cs="Times New Roman"/>
              </w:rPr>
            </w:pPr>
            <w:r>
              <w:rPr>
                <w:rFonts w:ascii="Times New Roman" w:hAnsi="Times New Roman" w:cs="Times New Roman"/>
              </w:rPr>
              <w:t>DBM</w:t>
            </w:r>
            <w:r w:rsidR="000E6B8D">
              <w:rPr>
                <w:rFonts w:ascii="Times New Roman" w:hAnsi="Times New Roman" w:cs="Times New Roman"/>
              </w:rPr>
              <w:t>D</w:t>
            </w:r>
            <w:r>
              <w:rPr>
                <w:rFonts w:ascii="Times New Roman" w:hAnsi="Times New Roman" w:cs="Times New Roman"/>
              </w:rPr>
              <w:t>C</w:t>
            </w:r>
          </w:p>
        </w:tc>
        <w:tc>
          <w:tcPr>
            <w:tcW w:w="6831" w:type="dxa"/>
            <w:tcBorders>
              <w:top w:val="single" w:sz="4" w:space="0" w:color="auto"/>
              <w:left w:val="single" w:sz="4" w:space="0" w:color="auto"/>
              <w:bottom w:val="single" w:sz="4" w:space="0" w:color="auto"/>
              <w:right w:val="single" w:sz="4" w:space="0" w:color="auto"/>
            </w:tcBorders>
          </w:tcPr>
          <w:p w14:paraId="090ECEA2" w14:textId="77777777" w:rsidR="003D235A" w:rsidRPr="003D235A" w:rsidRDefault="003D235A" w:rsidP="000E6B8D">
            <w:pPr>
              <w:rPr>
                <w:rFonts w:ascii="Times New Roman" w:hAnsi="Times New Roman" w:cs="Times New Roman"/>
              </w:rPr>
            </w:pPr>
            <w:r>
              <w:rPr>
                <w:rFonts w:ascii="Times New Roman" w:hAnsi="Times New Roman" w:cs="Times New Roman"/>
              </w:rPr>
              <w:t xml:space="preserve">Domestic Bond </w:t>
            </w:r>
            <w:r w:rsidR="000E6B8D">
              <w:rPr>
                <w:rFonts w:ascii="Times New Roman" w:hAnsi="Times New Roman" w:cs="Times New Roman"/>
              </w:rPr>
              <w:t>M</w:t>
            </w:r>
            <w:r>
              <w:rPr>
                <w:rFonts w:ascii="Times New Roman" w:hAnsi="Times New Roman" w:cs="Times New Roman"/>
              </w:rPr>
              <w:t xml:space="preserve">arket </w:t>
            </w:r>
            <w:r w:rsidR="000E6B8D">
              <w:rPr>
                <w:rFonts w:ascii="Times New Roman" w:hAnsi="Times New Roman" w:cs="Times New Roman"/>
              </w:rPr>
              <w:t xml:space="preserve">Development </w:t>
            </w:r>
            <w:r>
              <w:rPr>
                <w:rFonts w:ascii="Times New Roman" w:hAnsi="Times New Roman" w:cs="Times New Roman"/>
              </w:rPr>
              <w:t>Committee</w:t>
            </w:r>
          </w:p>
        </w:tc>
      </w:tr>
      <w:tr w:rsidR="00532269" w14:paraId="4D73D0B3"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3009BE50" w14:textId="77777777" w:rsidR="00532269" w:rsidRPr="003F04B9" w:rsidRDefault="00532269" w:rsidP="00532269">
            <w:pPr>
              <w:rPr>
                <w:rFonts w:ascii="Times New Roman" w:hAnsi="Times New Roman" w:cs="Times New Roman"/>
              </w:rPr>
            </w:pPr>
            <w:r w:rsidRPr="003F04B9">
              <w:rPr>
                <w:rFonts w:ascii="Times New Roman" w:hAnsi="Times New Roman" w:cs="Times New Roman"/>
              </w:rPr>
              <w:t>ESA</w:t>
            </w:r>
          </w:p>
        </w:tc>
        <w:tc>
          <w:tcPr>
            <w:tcW w:w="6831" w:type="dxa"/>
            <w:tcBorders>
              <w:top w:val="single" w:sz="4" w:space="0" w:color="auto"/>
              <w:left w:val="single" w:sz="4" w:space="0" w:color="auto"/>
              <w:bottom w:val="single" w:sz="4" w:space="0" w:color="auto"/>
              <w:right w:val="single" w:sz="4" w:space="0" w:color="auto"/>
            </w:tcBorders>
          </w:tcPr>
          <w:p w14:paraId="00D6D9F2" w14:textId="77777777" w:rsidR="00532269" w:rsidRPr="003F04B9" w:rsidRDefault="00532269" w:rsidP="00532269">
            <w:pPr>
              <w:rPr>
                <w:rFonts w:ascii="Times New Roman" w:hAnsi="Times New Roman" w:cs="Times New Roman"/>
              </w:rPr>
            </w:pPr>
            <w:r w:rsidRPr="003F04B9">
              <w:rPr>
                <w:rFonts w:ascii="Times New Roman" w:hAnsi="Times New Roman" w:cs="Times New Roman"/>
              </w:rPr>
              <w:t>Exchange Settlement Account</w:t>
            </w:r>
          </w:p>
        </w:tc>
      </w:tr>
      <w:tr w:rsidR="00A4627A" w14:paraId="76E7995C"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6F1A3290" w14:textId="77777777" w:rsidR="00A4627A" w:rsidRPr="00A4627A" w:rsidRDefault="00A4627A" w:rsidP="00532269">
            <w:pPr>
              <w:rPr>
                <w:rFonts w:ascii="Times New Roman" w:hAnsi="Times New Roman" w:cs="Times New Roman"/>
              </w:rPr>
            </w:pPr>
            <w:r w:rsidRPr="00A4627A">
              <w:rPr>
                <w:rFonts w:ascii="Times New Roman" w:hAnsi="Times New Roman" w:cs="Times New Roman"/>
              </w:rPr>
              <w:t>DOF</w:t>
            </w:r>
          </w:p>
        </w:tc>
        <w:tc>
          <w:tcPr>
            <w:tcW w:w="6831" w:type="dxa"/>
            <w:tcBorders>
              <w:top w:val="single" w:sz="4" w:space="0" w:color="auto"/>
              <w:left w:val="single" w:sz="4" w:space="0" w:color="auto"/>
              <w:bottom w:val="single" w:sz="4" w:space="0" w:color="auto"/>
              <w:right w:val="single" w:sz="4" w:space="0" w:color="auto"/>
            </w:tcBorders>
          </w:tcPr>
          <w:p w14:paraId="5B12AF9A" w14:textId="77777777" w:rsidR="00A4627A" w:rsidRPr="00A4627A" w:rsidRDefault="00A4627A" w:rsidP="00532269">
            <w:pPr>
              <w:rPr>
                <w:rFonts w:ascii="Times New Roman" w:hAnsi="Times New Roman" w:cs="Times New Roman"/>
              </w:rPr>
            </w:pPr>
            <w:r w:rsidRPr="00A4627A">
              <w:rPr>
                <w:rFonts w:ascii="Times New Roman" w:hAnsi="Times New Roman" w:cs="Times New Roman"/>
              </w:rPr>
              <w:t>Department of Finance</w:t>
            </w:r>
          </w:p>
        </w:tc>
      </w:tr>
      <w:tr w:rsidR="001D0769" w14:paraId="50C749C6"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2DF34646" w14:textId="77777777" w:rsidR="001D0769" w:rsidRPr="003F04B9" w:rsidRDefault="001D0769" w:rsidP="00532269">
            <w:pPr>
              <w:rPr>
                <w:rFonts w:ascii="Times New Roman" w:hAnsi="Times New Roman" w:cs="Times New Roman"/>
              </w:rPr>
            </w:pPr>
            <w:r w:rsidRPr="003F04B9">
              <w:rPr>
                <w:rFonts w:ascii="Times New Roman" w:hAnsi="Times New Roman" w:cs="Times New Roman"/>
              </w:rPr>
              <w:t>FMD</w:t>
            </w:r>
          </w:p>
        </w:tc>
        <w:tc>
          <w:tcPr>
            <w:tcW w:w="6831" w:type="dxa"/>
            <w:tcBorders>
              <w:top w:val="single" w:sz="4" w:space="0" w:color="auto"/>
              <w:left w:val="single" w:sz="4" w:space="0" w:color="auto"/>
              <w:bottom w:val="single" w:sz="4" w:space="0" w:color="auto"/>
              <w:right w:val="single" w:sz="4" w:space="0" w:color="auto"/>
            </w:tcBorders>
          </w:tcPr>
          <w:p w14:paraId="68DBBBFA" w14:textId="77777777" w:rsidR="001D0769" w:rsidRPr="003F04B9" w:rsidRDefault="001D0769" w:rsidP="00532269">
            <w:pPr>
              <w:rPr>
                <w:rFonts w:ascii="Times New Roman" w:hAnsi="Times New Roman" w:cs="Times New Roman"/>
              </w:rPr>
            </w:pPr>
            <w:r w:rsidRPr="003F04B9">
              <w:rPr>
                <w:rFonts w:ascii="Times New Roman" w:hAnsi="Times New Roman" w:cs="Times New Roman"/>
              </w:rPr>
              <w:t>Financial Management Division</w:t>
            </w:r>
          </w:p>
        </w:tc>
      </w:tr>
      <w:tr w:rsidR="00A4627A" w14:paraId="3556CD46"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0866169C" w14:textId="77777777" w:rsidR="00A4627A" w:rsidRPr="009C0184" w:rsidRDefault="00A4627A" w:rsidP="00532269">
            <w:pPr>
              <w:rPr>
                <w:rFonts w:ascii="Times New Roman" w:hAnsi="Times New Roman" w:cs="Times New Roman"/>
              </w:rPr>
            </w:pPr>
            <w:r w:rsidRPr="009C0184">
              <w:rPr>
                <w:rFonts w:ascii="Times New Roman" w:hAnsi="Times New Roman" w:cs="Times New Roman"/>
              </w:rPr>
              <w:t>FMD</w:t>
            </w:r>
            <w:r w:rsidR="009C0184">
              <w:rPr>
                <w:rFonts w:ascii="Times New Roman" w:hAnsi="Times New Roman" w:cs="Times New Roman"/>
              </w:rPr>
              <w:t xml:space="preserve"> BPNG</w:t>
            </w:r>
          </w:p>
        </w:tc>
        <w:tc>
          <w:tcPr>
            <w:tcW w:w="6831" w:type="dxa"/>
            <w:tcBorders>
              <w:top w:val="single" w:sz="4" w:space="0" w:color="auto"/>
              <w:left w:val="single" w:sz="4" w:space="0" w:color="auto"/>
              <w:bottom w:val="single" w:sz="4" w:space="0" w:color="auto"/>
              <w:right w:val="single" w:sz="4" w:space="0" w:color="auto"/>
            </w:tcBorders>
          </w:tcPr>
          <w:p w14:paraId="4F7E24CE" w14:textId="77777777" w:rsidR="00A4627A" w:rsidRPr="009C0184" w:rsidRDefault="009C0184" w:rsidP="00532269">
            <w:pPr>
              <w:rPr>
                <w:rFonts w:ascii="Times New Roman" w:hAnsi="Times New Roman" w:cs="Times New Roman"/>
              </w:rPr>
            </w:pPr>
            <w:r>
              <w:rPr>
                <w:rFonts w:ascii="Times New Roman" w:hAnsi="Times New Roman" w:cs="Times New Roman"/>
              </w:rPr>
              <w:t>Financial Markets Division</w:t>
            </w:r>
          </w:p>
        </w:tc>
      </w:tr>
      <w:tr w:rsidR="00FE1658" w14:paraId="19BFE49B"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5E0DD97C" w14:textId="77777777" w:rsidR="00FE1658" w:rsidRPr="009C0184" w:rsidRDefault="00FE1658" w:rsidP="00532269">
            <w:pPr>
              <w:rPr>
                <w:rFonts w:cs="Times New Roman"/>
              </w:rPr>
            </w:pPr>
            <w:r>
              <w:rPr>
                <w:rFonts w:cs="Times New Roman"/>
              </w:rPr>
              <w:t>FRA</w:t>
            </w:r>
          </w:p>
        </w:tc>
        <w:tc>
          <w:tcPr>
            <w:tcW w:w="6831" w:type="dxa"/>
            <w:tcBorders>
              <w:top w:val="single" w:sz="4" w:space="0" w:color="auto"/>
              <w:left w:val="single" w:sz="4" w:space="0" w:color="auto"/>
              <w:bottom w:val="single" w:sz="4" w:space="0" w:color="auto"/>
              <w:right w:val="single" w:sz="4" w:space="0" w:color="auto"/>
            </w:tcBorders>
          </w:tcPr>
          <w:p w14:paraId="545D48D5" w14:textId="77777777" w:rsidR="00FE1658" w:rsidRDefault="00FE1658" w:rsidP="00FE1658">
            <w:pPr>
              <w:rPr>
                <w:rFonts w:cs="Times New Roman"/>
              </w:rPr>
            </w:pPr>
            <w:r>
              <w:rPr>
                <w:rFonts w:cs="Times New Roman"/>
              </w:rPr>
              <w:t>Fiscal Responsibility Acts</w:t>
            </w:r>
          </w:p>
        </w:tc>
      </w:tr>
      <w:tr w:rsidR="00532269" w14:paraId="72209686"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71B1BDE3" w14:textId="77777777" w:rsidR="00532269" w:rsidRPr="003F04B9" w:rsidRDefault="00532269" w:rsidP="00532269">
            <w:pPr>
              <w:rPr>
                <w:rFonts w:ascii="Times New Roman" w:hAnsi="Times New Roman" w:cs="Times New Roman"/>
              </w:rPr>
            </w:pPr>
            <w:r w:rsidRPr="003F04B9">
              <w:rPr>
                <w:rFonts w:ascii="Times New Roman" w:hAnsi="Times New Roman" w:cs="Times New Roman"/>
              </w:rPr>
              <w:t>FSAP</w:t>
            </w:r>
          </w:p>
        </w:tc>
        <w:tc>
          <w:tcPr>
            <w:tcW w:w="6831" w:type="dxa"/>
            <w:tcBorders>
              <w:top w:val="single" w:sz="4" w:space="0" w:color="auto"/>
              <w:left w:val="single" w:sz="4" w:space="0" w:color="auto"/>
              <w:bottom w:val="single" w:sz="4" w:space="0" w:color="auto"/>
              <w:right w:val="single" w:sz="4" w:space="0" w:color="auto"/>
            </w:tcBorders>
          </w:tcPr>
          <w:p w14:paraId="4ACE946A" w14:textId="77777777" w:rsidR="00532269" w:rsidRPr="003F04B9" w:rsidRDefault="00532269" w:rsidP="00532269">
            <w:pPr>
              <w:rPr>
                <w:rFonts w:ascii="Times New Roman" w:hAnsi="Times New Roman" w:cs="Times New Roman"/>
              </w:rPr>
            </w:pPr>
            <w:r w:rsidRPr="003F04B9">
              <w:rPr>
                <w:rFonts w:ascii="Times New Roman" w:hAnsi="Times New Roman" w:cs="Times New Roman"/>
              </w:rPr>
              <w:t>Financial Sector Assessment Program</w:t>
            </w:r>
          </w:p>
        </w:tc>
      </w:tr>
      <w:tr w:rsidR="00532269" w14:paraId="3AB2C119"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673B81B9" w14:textId="77777777" w:rsidR="00532269" w:rsidRPr="003F04B9" w:rsidRDefault="00532269" w:rsidP="00532269">
            <w:pPr>
              <w:rPr>
                <w:rFonts w:ascii="Times New Roman" w:hAnsi="Times New Roman" w:cs="Times New Roman"/>
              </w:rPr>
            </w:pPr>
            <w:r w:rsidRPr="003F04B9">
              <w:rPr>
                <w:rFonts w:ascii="Times New Roman" w:hAnsi="Times New Roman" w:cs="Times New Roman"/>
              </w:rPr>
              <w:t>FSDS</w:t>
            </w:r>
          </w:p>
        </w:tc>
        <w:tc>
          <w:tcPr>
            <w:tcW w:w="6831" w:type="dxa"/>
            <w:tcBorders>
              <w:top w:val="single" w:sz="4" w:space="0" w:color="auto"/>
              <w:left w:val="single" w:sz="4" w:space="0" w:color="auto"/>
              <w:bottom w:val="single" w:sz="4" w:space="0" w:color="auto"/>
              <w:right w:val="single" w:sz="4" w:space="0" w:color="auto"/>
            </w:tcBorders>
          </w:tcPr>
          <w:p w14:paraId="70EC7789" w14:textId="77777777" w:rsidR="00532269" w:rsidRPr="003F04B9" w:rsidRDefault="00532269" w:rsidP="00532269">
            <w:pPr>
              <w:rPr>
                <w:rFonts w:ascii="Times New Roman" w:hAnsi="Times New Roman" w:cs="Times New Roman"/>
              </w:rPr>
            </w:pPr>
            <w:r w:rsidRPr="003F04B9">
              <w:rPr>
                <w:rFonts w:ascii="Times New Roman" w:hAnsi="Times New Roman" w:cs="Times New Roman"/>
              </w:rPr>
              <w:t>Financial Sector Development Strategy</w:t>
            </w:r>
          </w:p>
        </w:tc>
      </w:tr>
      <w:tr w:rsidR="00532269" w14:paraId="0D519154"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76A6BF82" w14:textId="77777777" w:rsidR="00532269" w:rsidRPr="003F04B9" w:rsidRDefault="00A4627A" w:rsidP="00532269">
            <w:pPr>
              <w:rPr>
                <w:rFonts w:ascii="Times New Roman" w:hAnsi="Times New Roman" w:cs="Times New Roman"/>
              </w:rPr>
            </w:pPr>
            <w:r>
              <w:rPr>
                <w:rFonts w:ascii="Times New Roman" w:hAnsi="Times New Roman" w:cs="Times New Roman"/>
              </w:rPr>
              <w:t>GDI</w:t>
            </w:r>
          </w:p>
        </w:tc>
        <w:tc>
          <w:tcPr>
            <w:tcW w:w="6831" w:type="dxa"/>
            <w:tcBorders>
              <w:top w:val="single" w:sz="4" w:space="0" w:color="auto"/>
              <w:left w:val="single" w:sz="4" w:space="0" w:color="auto"/>
              <w:bottom w:val="single" w:sz="4" w:space="0" w:color="auto"/>
              <w:right w:val="single" w:sz="4" w:space="0" w:color="auto"/>
            </w:tcBorders>
          </w:tcPr>
          <w:p w14:paraId="760DDFD9" w14:textId="77777777" w:rsidR="00532269" w:rsidRPr="003F04B9" w:rsidRDefault="00A4627A" w:rsidP="00532269">
            <w:pPr>
              <w:rPr>
                <w:rFonts w:ascii="Times New Roman" w:hAnsi="Times New Roman" w:cs="Times New Roman"/>
              </w:rPr>
            </w:pPr>
            <w:r>
              <w:rPr>
                <w:rFonts w:ascii="Times New Roman" w:hAnsi="Times New Roman" w:cs="Times New Roman"/>
              </w:rPr>
              <w:t>Gross Domestic Income</w:t>
            </w:r>
          </w:p>
        </w:tc>
      </w:tr>
      <w:tr w:rsidR="00A4627A" w14:paraId="5DB42ECF"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0D4102FC" w14:textId="77777777" w:rsidR="00A4627A" w:rsidRPr="00A4627A" w:rsidRDefault="00A4627A" w:rsidP="00532269">
            <w:pPr>
              <w:rPr>
                <w:rFonts w:ascii="Times New Roman" w:hAnsi="Times New Roman" w:cs="Times New Roman"/>
              </w:rPr>
            </w:pPr>
            <w:r w:rsidRPr="00A4627A">
              <w:rPr>
                <w:rFonts w:ascii="Times New Roman" w:hAnsi="Times New Roman" w:cs="Times New Roman"/>
              </w:rPr>
              <w:t>GDP</w:t>
            </w:r>
          </w:p>
        </w:tc>
        <w:tc>
          <w:tcPr>
            <w:tcW w:w="6831" w:type="dxa"/>
            <w:tcBorders>
              <w:top w:val="single" w:sz="4" w:space="0" w:color="auto"/>
              <w:left w:val="single" w:sz="4" w:space="0" w:color="auto"/>
              <w:bottom w:val="single" w:sz="4" w:space="0" w:color="auto"/>
              <w:right w:val="single" w:sz="4" w:space="0" w:color="auto"/>
            </w:tcBorders>
          </w:tcPr>
          <w:p w14:paraId="121C2B42" w14:textId="77777777" w:rsidR="00A4627A" w:rsidRPr="00A4627A" w:rsidRDefault="00A4627A" w:rsidP="00532269">
            <w:pPr>
              <w:rPr>
                <w:rFonts w:ascii="Times New Roman" w:hAnsi="Times New Roman" w:cs="Times New Roman"/>
              </w:rPr>
            </w:pPr>
            <w:r w:rsidRPr="00A4627A">
              <w:rPr>
                <w:rFonts w:ascii="Times New Roman" w:hAnsi="Times New Roman" w:cs="Times New Roman"/>
              </w:rPr>
              <w:t>Gross Domestic Product</w:t>
            </w:r>
          </w:p>
        </w:tc>
      </w:tr>
      <w:tr w:rsidR="00A4627A" w14:paraId="7670F72E"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64749F00" w14:textId="77777777" w:rsidR="00A4627A" w:rsidRPr="00A4627A" w:rsidRDefault="00A4627A" w:rsidP="00532269">
            <w:pPr>
              <w:rPr>
                <w:rFonts w:cs="Times New Roman"/>
              </w:rPr>
            </w:pPr>
            <w:r w:rsidRPr="003F04B9">
              <w:rPr>
                <w:rFonts w:ascii="Times New Roman" w:hAnsi="Times New Roman" w:cs="Times New Roman"/>
              </w:rPr>
              <w:t>GIS</w:t>
            </w:r>
          </w:p>
        </w:tc>
        <w:tc>
          <w:tcPr>
            <w:tcW w:w="6831" w:type="dxa"/>
            <w:tcBorders>
              <w:top w:val="single" w:sz="4" w:space="0" w:color="auto"/>
              <w:left w:val="single" w:sz="4" w:space="0" w:color="auto"/>
              <w:bottom w:val="single" w:sz="4" w:space="0" w:color="auto"/>
              <w:right w:val="single" w:sz="4" w:space="0" w:color="auto"/>
            </w:tcBorders>
          </w:tcPr>
          <w:p w14:paraId="6904C11A" w14:textId="77777777" w:rsidR="00A4627A" w:rsidRPr="00A4627A" w:rsidRDefault="00A4627A" w:rsidP="00532269">
            <w:pPr>
              <w:rPr>
                <w:rFonts w:cs="Times New Roman"/>
              </w:rPr>
            </w:pPr>
            <w:r w:rsidRPr="003F04B9">
              <w:rPr>
                <w:rFonts w:ascii="Times New Roman" w:hAnsi="Times New Roman" w:cs="Times New Roman"/>
              </w:rPr>
              <w:t>Government Inscribed Stock</w:t>
            </w:r>
          </w:p>
        </w:tc>
      </w:tr>
      <w:tr w:rsidR="00532269" w14:paraId="6EACE9B0"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66C79FC3" w14:textId="77777777" w:rsidR="00532269" w:rsidRPr="003F04B9" w:rsidRDefault="00532269" w:rsidP="00532269">
            <w:pPr>
              <w:rPr>
                <w:rFonts w:ascii="Times New Roman" w:hAnsi="Times New Roman" w:cs="Times New Roman"/>
              </w:rPr>
            </w:pPr>
            <w:proofErr w:type="spellStart"/>
            <w:r w:rsidRPr="003F04B9">
              <w:rPr>
                <w:rFonts w:ascii="Times New Roman" w:hAnsi="Times New Roman" w:cs="Times New Roman"/>
              </w:rPr>
              <w:t>GoPNG</w:t>
            </w:r>
            <w:proofErr w:type="spellEnd"/>
          </w:p>
        </w:tc>
        <w:tc>
          <w:tcPr>
            <w:tcW w:w="6831" w:type="dxa"/>
            <w:tcBorders>
              <w:top w:val="single" w:sz="4" w:space="0" w:color="auto"/>
              <w:left w:val="single" w:sz="4" w:space="0" w:color="auto"/>
              <w:bottom w:val="single" w:sz="4" w:space="0" w:color="auto"/>
              <w:right w:val="single" w:sz="4" w:space="0" w:color="auto"/>
            </w:tcBorders>
          </w:tcPr>
          <w:p w14:paraId="1348E604" w14:textId="77777777" w:rsidR="00532269" w:rsidRPr="003F04B9" w:rsidRDefault="00532269" w:rsidP="00532269">
            <w:pPr>
              <w:rPr>
                <w:rFonts w:ascii="Times New Roman" w:hAnsi="Times New Roman" w:cs="Times New Roman"/>
              </w:rPr>
            </w:pPr>
            <w:r w:rsidRPr="003F04B9">
              <w:rPr>
                <w:rFonts w:ascii="Times New Roman" w:hAnsi="Times New Roman" w:cs="Times New Roman"/>
              </w:rPr>
              <w:t>PNG Government</w:t>
            </w:r>
          </w:p>
        </w:tc>
      </w:tr>
      <w:tr w:rsidR="00A4627A" w14:paraId="2E7E0A24"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7A8DF4A7" w14:textId="77777777" w:rsidR="00A4627A" w:rsidRPr="00A4627A" w:rsidRDefault="00A4627A" w:rsidP="00532269">
            <w:pPr>
              <w:rPr>
                <w:rFonts w:ascii="Times New Roman" w:hAnsi="Times New Roman" w:cs="Times New Roman"/>
              </w:rPr>
            </w:pPr>
            <w:r w:rsidRPr="00A4627A">
              <w:rPr>
                <w:rFonts w:ascii="Times New Roman" w:hAnsi="Times New Roman" w:cs="Times New Roman"/>
              </w:rPr>
              <w:t>IMF</w:t>
            </w:r>
          </w:p>
        </w:tc>
        <w:tc>
          <w:tcPr>
            <w:tcW w:w="6831" w:type="dxa"/>
            <w:tcBorders>
              <w:top w:val="single" w:sz="4" w:space="0" w:color="auto"/>
              <w:left w:val="single" w:sz="4" w:space="0" w:color="auto"/>
              <w:bottom w:val="single" w:sz="4" w:space="0" w:color="auto"/>
              <w:right w:val="single" w:sz="4" w:space="0" w:color="auto"/>
            </w:tcBorders>
          </w:tcPr>
          <w:p w14:paraId="32EFA447" w14:textId="77777777" w:rsidR="00A4627A" w:rsidRPr="00A4627A" w:rsidRDefault="00A4627A" w:rsidP="00532269">
            <w:pPr>
              <w:rPr>
                <w:rFonts w:ascii="Times New Roman" w:hAnsi="Times New Roman" w:cs="Times New Roman"/>
              </w:rPr>
            </w:pPr>
            <w:r>
              <w:rPr>
                <w:rFonts w:ascii="Times New Roman" w:hAnsi="Times New Roman" w:cs="Times New Roman"/>
              </w:rPr>
              <w:t>International Monetary Fund</w:t>
            </w:r>
          </w:p>
        </w:tc>
      </w:tr>
      <w:tr w:rsidR="00A4627A" w14:paraId="1320CF7E"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3457D275" w14:textId="77777777" w:rsidR="00A4627A" w:rsidRPr="00A4627A" w:rsidRDefault="00A4627A" w:rsidP="00532269">
            <w:pPr>
              <w:rPr>
                <w:rFonts w:ascii="Times New Roman" w:hAnsi="Times New Roman" w:cs="Times New Roman"/>
              </w:rPr>
            </w:pPr>
            <w:r w:rsidRPr="00A4627A">
              <w:rPr>
                <w:rFonts w:ascii="Times New Roman" w:hAnsi="Times New Roman" w:cs="Times New Roman"/>
              </w:rPr>
              <w:t>KATS</w:t>
            </w:r>
          </w:p>
        </w:tc>
        <w:tc>
          <w:tcPr>
            <w:tcW w:w="6831" w:type="dxa"/>
            <w:tcBorders>
              <w:top w:val="single" w:sz="4" w:space="0" w:color="auto"/>
              <w:left w:val="single" w:sz="4" w:space="0" w:color="auto"/>
              <w:bottom w:val="single" w:sz="4" w:space="0" w:color="auto"/>
              <w:right w:val="single" w:sz="4" w:space="0" w:color="auto"/>
            </w:tcBorders>
          </w:tcPr>
          <w:p w14:paraId="2831A201" w14:textId="77777777" w:rsidR="00A4627A" w:rsidRPr="00A4627A" w:rsidRDefault="009C0184" w:rsidP="00532269">
            <w:pPr>
              <w:rPr>
                <w:rFonts w:ascii="Times New Roman" w:hAnsi="Times New Roman" w:cs="Times New Roman"/>
              </w:rPr>
            </w:pPr>
            <w:r>
              <w:rPr>
                <w:rFonts w:ascii="Times New Roman" w:hAnsi="Times New Roman" w:cs="Times New Roman"/>
              </w:rPr>
              <w:t>Kina Automated Transfer System</w:t>
            </w:r>
          </w:p>
        </w:tc>
      </w:tr>
      <w:tr w:rsidR="00532269" w14:paraId="518551C5"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6CC4C10E" w14:textId="77777777" w:rsidR="00532269" w:rsidRPr="003F04B9" w:rsidRDefault="00532269" w:rsidP="00532269">
            <w:pPr>
              <w:rPr>
                <w:rFonts w:ascii="Times New Roman" w:hAnsi="Times New Roman" w:cs="Times New Roman"/>
              </w:rPr>
            </w:pPr>
            <w:r w:rsidRPr="003F04B9">
              <w:rPr>
                <w:rFonts w:ascii="Times New Roman" w:hAnsi="Times New Roman" w:cs="Times New Roman"/>
              </w:rPr>
              <w:t>KFR</w:t>
            </w:r>
          </w:p>
        </w:tc>
        <w:tc>
          <w:tcPr>
            <w:tcW w:w="6831" w:type="dxa"/>
            <w:tcBorders>
              <w:top w:val="single" w:sz="4" w:space="0" w:color="auto"/>
              <w:left w:val="single" w:sz="4" w:space="0" w:color="auto"/>
              <w:bottom w:val="single" w:sz="4" w:space="0" w:color="auto"/>
              <w:right w:val="single" w:sz="4" w:space="0" w:color="auto"/>
            </w:tcBorders>
          </w:tcPr>
          <w:p w14:paraId="532F1D56" w14:textId="77777777" w:rsidR="00532269" w:rsidRPr="003F04B9" w:rsidRDefault="00532269" w:rsidP="00532269">
            <w:pPr>
              <w:rPr>
                <w:rFonts w:ascii="Times New Roman" w:hAnsi="Times New Roman" w:cs="Times New Roman"/>
              </w:rPr>
            </w:pPr>
            <w:r w:rsidRPr="003F04B9">
              <w:rPr>
                <w:rFonts w:ascii="Times New Roman" w:hAnsi="Times New Roman" w:cs="Times New Roman"/>
              </w:rPr>
              <w:t>Kina Facility Rate</w:t>
            </w:r>
          </w:p>
        </w:tc>
      </w:tr>
      <w:tr w:rsidR="00532269" w14:paraId="4E57E1A5"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029ED121" w14:textId="77777777" w:rsidR="00532269" w:rsidRPr="003F04B9" w:rsidRDefault="00125096" w:rsidP="00532269">
            <w:pPr>
              <w:rPr>
                <w:rFonts w:ascii="Times New Roman" w:hAnsi="Times New Roman" w:cs="Times New Roman"/>
              </w:rPr>
            </w:pPr>
            <w:r>
              <w:rPr>
                <w:rFonts w:ascii="Times New Roman" w:hAnsi="Times New Roman" w:cs="Times New Roman"/>
              </w:rPr>
              <w:t>LNG</w:t>
            </w:r>
          </w:p>
        </w:tc>
        <w:tc>
          <w:tcPr>
            <w:tcW w:w="6831" w:type="dxa"/>
            <w:tcBorders>
              <w:top w:val="single" w:sz="4" w:space="0" w:color="auto"/>
              <w:left w:val="single" w:sz="4" w:space="0" w:color="auto"/>
              <w:bottom w:val="single" w:sz="4" w:space="0" w:color="auto"/>
              <w:right w:val="single" w:sz="4" w:space="0" w:color="auto"/>
            </w:tcBorders>
          </w:tcPr>
          <w:p w14:paraId="21C99B4F" w14:textId="77777777" w:rsidR="00532269" w:rsidRPr="003F04B9" w:rsidRDefault="00125096" w:rsidP="00532269">
            <w:pPr>
              <w:rPr>
                <w:rFonts w:ascii="Times New Roman" w:hAnsi="Times New Roman" w:cs="Times New Roman"/>
              </w:rPr>
            </w:pPr>
            <w:r>
              <w:rPr>
                <w:rFonts w:ascii="Times New Roman" w:hAnsi="Times New Roman" w:cs="Times New Roman"/>
              </w:rPr>
              <w:t>Liquefied Natural Gas</w:t>
            </w:r>
          </w:p>
        </w:tc>
      </w:tr>
      <w:tr w:rsidR="00125096" w14:paraId="4EC704D3"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1C784D69" w14:textId="77777777" w:rsidR="00125096" w:rsidRPr="003F04B9" w:rsidRDefault="00125096" w:rsidP="00532269">
            <w:pPr>
              <w:rPr>
                <w:rFonts w:cs="Times New Roman"/>
              </w:rPr>
            </w:pPr>
            <w:r w:rsidRPr="003F04B9">
              <w:rPr>
                <w:rFonts w:ascii="Times New Roman" w:hAnsi="Times New Roman" w:cs="Times New Roman"/>
              </w:rPr>
              <w:t>MMOC</w:t>
            </w:r>
          </w:p>
        </w:tc>
        <w:tc>
          <w:tcPr>
            <w:tcW w:w="6831" w:type="dxa"/>
            <w:tcBorders>
              <w:top w:val="single" w:sz="4" w:space="0" w:color="auto"/>
              <w:left w:val="single" w:sz="4" w:space="0" w:color="auto"/>
              <w:bottom w:val="single" w:sz="4" w:space="0" w:color="auto"/>
              <w:right w:val="single" w:sz="4" w:space="0" w:color="auto"/>
            </w:tcBorders>
          </w:tcPr>
          <w:p w14:paraId="4E3E8026" w14:textId="77777777" w:rsidR="00125096" w:rsidRPr="003F04B9" w:rsidRDefault="00125096" w:rsidP="00532269">
            <w:pPr>
              <w:rPr>
                <w:rFonts w:cs="Times New Roman"/>
              </w:rPr>
            </w:pPr>
            <w:r w:rsidRPr="003F04B9">
              <w:rPr>
                <w:rFonts w:ascii="Times New Roman" w:hAnsi="Times New Roman" w:cs="Times New Roman"/>
              </w:rPr>
              <w:t>Money Market Operations Committee</w:t>
            </w:r>
          </w:p>
        </w:tc>
      </w:tr>
      <w:tr w:rsidR="000E6B8D" w14:paraId="0A07DB60"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4410F662" w14:textId="77777777" w:rsidR="000E6B8D" w:rsidRPr="003F04B9" w:rsidRDefault="000E6B8D" w:rsidP="00532269">
            <w:pPr>
              <w:rPr>
                <w:rFonts w:cs="Times New Roman"/>
              </w:rPr>
            </w:pPr>
            <w:r>
              <w:rPr>
                <w:rFonts w:cs="Times New Roman"/>
              </w:rPr>
              <w:t>MRA</w:t>
            </w:r>
          </w:p>
        </w:tc>
        <w:tc>
          <w:tcPr>
            <w:tcW w:w="6831" w:type="dxa"/>
            <w:tcBorders>
              <w:top w:val="single" w:sz="4" w:space="0" w:color="auto"/>
              <w:left w:val="single" w:sz="4" w:space="0" w:color="auto"/>
              <w:bottom w:val="single" w:sz="4" w:space="0" w:color="auto"/>
              <w:right w:val="single" w:sz="4" w:space="0" w:color="auto"/>
            </w:tcBorders>
          </w:tcPr>
          <w:p w14:paraId="59C8DE5F" w14:textId="77777777" w:rsidR="000E6B8D" w:rsidRPr="003F04B9" w:rsidRDefault="000E6B8D" w:rsidP="00532269">
            <w:pPr>
              <w:rPr>
                <w:rFonts w:cs="Times New Roman"/>
              </w:rPr>
            </w:pPr>
            <w:r w:rsidRPr="000E6B8D">
              <w:rPr>
                <w:rFonts w:cs="Times New Roman"/>
              </w:rPr>
              <w:t>Master Repurchase Agreement</w:t>
            </w:r>
          </w:p>
        </w:tc>
      </w:tr>
      <w:tr w:rsidR="00532269" w14:paraId="5F11ED4D"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6A77A4D3" w14:textId="77777777" w:rsidR="00532269" w:rsidRPr="003F04B9" w:rsidRDefault="00532269" w:rsidP="00532269">
            <w:pPr>
              <w:rPr>
                <w:rFonts w:ascii="Times New Roman" w:hAnsi="Times New Roman" w:cs="Times New Roman"/>
              </w:rPr>
            </w:pPr>
            <w:r w:rsidRPr="003F04B9">
              <w:rPr>
                <w:rFonts w:ascii="Times New Roman" w:hAnsi="Times New Roman" w:cs="Times New Roman"/>
              </w:rPr>
              <w:t>MTDS</w:t>
            </w:r>
          </w:p>
        </w:tc>
        <w:tc>
          <w:tcPr>
            <w:tcW w:w="6831" w:type="dxa"/>
            <w:tcBorders>
              <w:top w:val="single" w:sz="4" w:space="0" w:color="auto"/>
              <w:left w:val="single" w:sz="4" w:space="0" w:color="auto"/>
              <w:bottom w:val="single" w:sz="4" w:space="0" w:color="auto"/>
              <w:right w:val="single" w:sz="4" w:space="0" w:color="auto"/>
            </w:tcBorders>
          </w:tcPr>
          <w:p w14:paraId="0AFB2047" w14:textId="77777777" w:rsidR="00532269" w:rsidRPr="003F04B9" w:rsidRDefault="00532269" w:rsidP="00532269">
            <w:pPr>
              <w:rPr>
                <w:rFonts w:ascii="Times New Roman" w:hAnsi="Times New Roman" w:cs="Times New Roman"/>
              </w:rPr>
            </w:pPr>
            <w:r w:rsidRPr="003F04B9">
              <w:rPr>
                <w:rFonts w:ascii="Times New Roman" w:hAnsi="Times New Roman" w:cs="Times New Roman"/>
              </w:rPr>
              <w:t xml:space="preserve">Medium </w:t>
            </w:r>
            <w:r w:rsidR="001D0769" w:rsidRPr="003F04B9">
              <w:rPr>
                <w:rFonts w:ascii="Times New Roman" w:hAnsi="Times New Roman" w:cs="Times New Roman"/>
              </w:rPr>
              <w:t xml:space="preserve">Term </w:t>
            </w:r>
            <w:r w:rsidRPr="003F04B9">
              <w:rPr>
                <w:rFonts w:ascii="Times New Roman" w:hAnsi="Times New Roman" w:cs="Times New Roman"/>
              </w:rPr>
              <w:t xml:space="preserve">Debt Management Strategy </w:t>
            </w:r>
          </w:p>
        </w:tc>
      </w:tr>
      <w:tr w:rsidR="00261AA9" w14:paraId="0E8D6972"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0A0C0CF5" w14:textId="77777777" w:rsidR="00261AA9" w:rsidRPr="00261AA9" w:rsidRDefault="00261AA9" w:rsidP="00532269">
            <w:pPr>
              <w:rPr>
                <w:rFonts w:ascii="Times New Roman" w:hAnsi="Times New Roman" w:cs="Times New Roman"/>
              </w:rPr>
            </w:pPr>
            <w:r w:rsidRPr="00261AA9">
              <w:rPr>
                <w:rFonts w:ascii="Times New Roman" w:hAnsi="Times New Roman" w:cs="Times New Roman"/>
              </w:rPr>
              <w:t>OTC</w:t>
            </w:r>
          </w:p>
        </w:tc>
        <w:tc>
          <w:tcPr>
            <w:tcW w:w="6831" w:type="dxa"/>
            <w:tcBorders>
              <w:top w:val="single" w:sz="4" w:space="0" w:color="auto"/>
              <w:left w:val="single" w:sz="4" w:space="0" w:color="auto"/>
              <w:bottom w:val="single" w:sz="4" w:space="0" w:color="auto"/>
              <w:right w:val="single" w:sz="4" w:space="0" w:color="auto"/>
            </w:tcBorders>
          </w:tcPr>
          <w:p w14:paraId="0B59C955" w14:textId="77777777" w:rsidR="00261AA9" w:rsidRPr="00261AA9" w:rsidRDefault="00261AA9" w:rsidP="00532269">
            <w:pPr>
              <w:rPr>
                <w:rFonts w:ascii="Times New Roman" w:hAnsi="Times New Roman" w:cs="Times New Roman"/>
              </w:rPr>
            </w:pPr>
            <w:r>
              <w:rPr>
                <w:rFonts w:ascii="Times New Roman" w:hAnsi="Times New Roman" w:cs="Times New Roman"/>
              </w:rPr>
              <w:t>Over-the-</w:t>
            </w:r>
            <w:r w:rsidRPr="00261AA9">
              <w:rPr>
                <w:rFonts w:ascii="Times New Roman" w:hAnsi="Times New Roman" w:cs="Times New Roman"/>
              </w:rPr>
              <w:t>Counter</w:t>
            </w:r>
          </w:p>
        </w:tc>
      </w:tr>
      <w:tr w:rsidR="00532269" w14:paraId="143ACE24"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6212EA4B" w14:textId="77777777" w:rsidR="00532269" w:rsidRPr="003F04B9" w:rsidRDefault="00AA214F" w:rsidP="00532269">
            <w:pPr>
              <w:rPr>
                <w:rFonts w:ascii="Times New Roman" w:hAnsi="Times New Roman" w:cs="Times New Roman"/>
              </w:rPr>
            </w:pPr>
            <w:proofErr w:type="spellStart"/>
            <w:r>
              <w:rPr>
                <w:rFonts w:ascii="Times New Roman" w:hAnsi="Times New Roman" w:cs="Times New Roman"/>
              </w:rPr>
              <w:t>POMSo</w:t>
            </w:r>
            <w:r w:rsidR="001D0769" w:rsidRPr="003F04B9">
              <w:rPr>
                <w:rFonts w:ascii="Times New Roman" w:hAnsi="Times New Roman" w:cs="Times New Roman"/>
              </w:rPr>
              <w:t>X</w:t>
            </w:r>
            <w:proofErr w:type="spellEnd"/>
          </w:p>
        </w:tc>
        <w:tc>
          <w:tcPr>
            <w:tcW w:w="6831" w:type="dxa"/>
            <w:tcBorders>
              <w:top w:val="single" w:sz="4" w:space="0" w:color="auto"/>
              <w:left w:val="single" w:sz="4" w:space="0" w:color="auto"/>
              <w:bottom w:val="single" w:sz="4" w:space="0" w:color="auto"/>
              <w:right w:val="single" w:sz="4" w:space="0" w:color="auto"/>
            </w:tcBorders>
          </w:tcPr>
          <w:p w14:paraId="0AB31BB6" w14:textId="77777777" w:rsidR="00532269" w:rsidRPr="003F04B9" w:rsidRDefault="001D0769" w:rsidP="00532269">
            <w:pPr>
              <w:rPr>
                <w:rFonts w:ascii="Times New Roman" w:hAnsi="Times New Roman" w:cs="Times New Roman"/>
              </w:rPr>
            </w:pPr>
            <w:r w:rsidRPr="003F04B9">
              <w:rPr>
                <w:rFonts w:ascii="Times New Roman" w:hAnsi="Times New Roman" w:cs="Times New Roman"/>
              </w:rPr>
              <w:t>Port Moresby Stock Exchange</w:t>
            </w:r>
          </w:p>
        </w:tc>
      </w:tr>
      <w:tr w:rsidR="001D0769" w14:paraId="11611594"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2F02F752" w14:textId="77777777" w:rsidR="001D0769" w:rsidRPr="003F04B9" w:rsidRDefault="001D0769" w:rsidP="001D0769">
            <w:pPr>
              <w:rPr>
                <w:rFonts w:ascii="Times New Roman" w:hAnsi="Times New Roman" w:cs="Times New Roman"/>
              </w:rPr>
            </w:pPr>
            <w:r w:rsidRPr="003F04B9">
              <w:rPr>
                <w:rFonts w:ascii="Times New Roman" w:hAnsi="Times New Roman" w:cs="Times New Roman"/>
              </w:rPr>
              <w:t>PGK</w:t>
            </w:r>
          </w:p>
        </w:tc>
        <w:tc>
          <w:tcPr>
            <w:tcW w:w="6831" w:type="dxa"/>
            <w:tcBorders>
              <w:top w:val="single" w:sz="4" w:space="0" w:color="auto"/>
              <w:left w:val="single" w:sz="4" w:space="0" w:color="auto"/>
              <w:bottom w:val="single" w:sz="4" w:space="0" w:color="auto"/>
              <w:right w:val="single" w:sz="4" w:space="0" w:color="auto"/>
            </w:tcBorders>
          </w:tcPr>
          <w:p w14:paraId="1FD6E021" w14:textId="77777777" w:rsidR="001D0769" w:rsidRPr="003F04B9" w:rsidRDefault="00261AA9" w:rsidP="001D0769">
            <w:pPr>
              <w:rPr>
                <w:rFonts w:ascii="Times New Roman" w:hAnsi="Times New Roman" w:cs="Times New Roman"/>
              </w:rPr>
            </w:pPr>
            <w:r>
              <w:rPr>
                <w:rFonts w:ascii="Times New Roman" w:hAnsi="Times New Roman" w:cs="Times New Roman"/>
              </w:rPr>
              <w:t xml:space="preserve">Papua New Guinea </w:t>
            </w:r>
            <w:r w:rsidR="001D0769" w:rsidRPr="003F04B9">
              <w:rPr>
                <w:rFonts w:ascii="Times New Roman" w:hAnsi="Times New Roman" w:cs="Times New Roman"/>
              </w:rPr>
              <w:t>Kina</w:t>
            </w:r>
          </w:p>
        </w:tc>
      </w:tr>
      <w:tr w:rsidR="001D0769" w14:paraId="5383AA85"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54857C19" w14:textId="77777777" w:rsidR="001D0769" w:rsidRPr="003F04B9" w:rsidRDefault="001D0769" w:rsidP="001D0769">
            <w:pPr>
              <w:rPr>
                <w:rFonts w:ascii="Times New Roman" w:hAnsi="Times New Roman" w:cs="Times New Roman"/>
              </w:rPr>
            </w:pPr>
            <w:r w:rsidRPr="003F04B9">
              <w:rPr>
                <w:rFonts w:ascii="Times New Roman" w:hAnsi="Times New Roman" w:cs="Times New Roman"/>
              </w:rPr>
              <w:t>PNG</w:t>
            </w:r>
          </w:p>
        </w:tc>
        <w:tc>
          <w:tcPr>
            <w:tcW w:w="6831" w:type="dxa"/>
            <w:tcBorders>
              <w:top w:val="single" w:sz="4" w:space="0" w:color="auto"/>
              <w:left w:val="single" w:sz="4" w:space="0" w:color="auto"/>
              <w:bottom w:val="single" w:sz="4" w:space="0" w:color="auto"/>
              <w:right w:val="single" w:sz="4" w:space="0" w:color="auto"/>
            </w:tcBorders>
          </w:tcPr>
          <w:p w14:paraId="1FF6A0CD" w14:textId="77777777" w:rsidR="001D0769" w:rsidRPr="003F04B9" w:rsidRDefault="001D0769" w:rsidP="001D0769">
            <w:pPr>
              <w:rPr>
                <w:rFonts w:ascii="Times New Roman" w:hAnsi="Times New Roman" w:cs="Times New Roman"/>
              </w:rPr>
            </w:pPr>
            <w:r w:rsidRPr="003F04B9">
              <w:rPr>
                <w:rFonts w:ascii="Times New Roman" w:hAnsi="Times New Roman" w:cs="Times New Roman"/>
              </w:rPr>
              <w:t>Papua New Guinea</w:t>
            </w:r>
          </w:p>
        </w:tc>
      </w:tr>
      <w:tr w:rsidR="003D235A" w14:paraId="3BFDA227"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7D31862E" w14:textId="77777777" w:rsidR="003D235A" w:rsidRPr="003D235A" w:rsidRDefault="003D235A" w:rsidP="001D0769">
            <w:pPr>
              <w:rPr>
                <w:rFonts w:ascii="Times New Roman" w:hAnsi="Times New Roman" w:cs="Times New Roman"/>
              </w:rPr>
            </w:pPr>
            <w:r w:rsidRPr="003D235A">
              <w:rPr>
                <w:rFonts w:ascii="Times New Roman" w:hAnsi="Times New Roman" w:cs="Times New Roman"/>
              </w:rPr>
              <w:t>PDC</w:t>
            </w:r>
          </w:p>
        </w:tc>
        <w:tc>
          <w:tcPr>
            <w:tcW w:w="6831" w:type="dxa"/>
            <w:tcBorders>
              <w:top w:val="single" w:sz="4" w:space="0" w:color="auto"/>
              <w:left w:val="single" w:sz="4" w:space="0" w:color="auto"/>
              <w:bottom w:val="single" w:sz="4" w:space="0" w:color="auto"/>
              <w:right w:val="single" w:sz="4" w:space="0" w:color="auto"/>
            </w:tcBorders>
          </w:tcPr>
          <w:p w14:paraId="6FF5990E" w14:textId="77777777" w:rsidR="003D235A" w:rsidRPr="003D235A" w:rsidRDefault="003D235A" w:rsidP="001D0769">
            <w:pPr>
              <w:rPr>
                <w:rFonts w:ascii="Times New Roman" w:hAnsi="Times New Roman" w:cs="Times New Roman"/>
              </w:rPr>
            </w:pPr>
            <w:r>
              <w:rPr>
                <w:rFonts w:ascii="Times New Roman" w:hAnsi="Times New Roman" w:cs="Times New Roman"/>
              </w:rPr>
              <w:t>Public Debt Committee</w:t>
            </w:r>
          </w:p>
        </w:tc>
      </w:tr>
      <w:tr w:rsidR="001D0769" w14:paraId="29451C17"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0C427395" w14:textId="77777777" w:rsidR="001D0769" w:rsidRPr="003F04B9" w:rsidRDefault="003D235A" w:rsidP="001D0769">
            <w:pPr>
              <w:rPr>
                <w:rFonts w:ascii="Times New Roman" w:hAnsi="Times New Roman" w:cs="Times New Roman"/>
              </w:rPr>
            </w:pPr>
            <w:r>
              <w:rPr>
                <w:rFonts w:ascii="Times New Roman" w:hAnsi="Times New Roman" w:cs="Times New Roman"/>
              </w:rPr>
              <w:t>PDPC</w:t>
            </w:r>
          </w:p>
        </w:tc>
        <w:tc>
          <w:tcPr>
            <w:tcW w:w="6831" w:type="dxa"/>
            <w:tcBorders>
              <w:top w:val="single" w:sz="4" w:space="0" w:color="auto"/>
              <w:left w:val="single" w:sz="4" w:space="0" w:color="auto"/>
              <w:bottom w:val="single" w:sz="4" w:space="0" w:color="auto"/>
              <w:right w:val="single" w:sz="4" w:space="0" w:color="auto"/>
            </w:tcBorders>
          </w:tcPr>
          <w:p w14:paraId="6C58E48E" w14:textId="77777777" w:rsidR="001D0769" w:rsidRPr="003F04B9" w:rsidRDefault="003D235A" w:rsidP="001D0769">
            <w:pPr>
              <w:rPr>
                <w:rFonts w:ascii="Times New Roman" w:hAnsi="Times New Roman" w:cs="Times New Roman"/>
              </w:rPr>
            </w:pPr>
            <w:r>
              <w:rPr>
                <w:rFonts w:ascii="Times New Roman" w:hAnsi="Times New Roman" w:cs="Times New Roman"/>
              </w:rPr>
              <w:t>Public Debt Policy Committee</w:t>
            </w:r>
          </w:p>
        </w:tc>
      </w:tr>
      <w:tr w:rsidR="003561BC" w14:paraId="7D32413E"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5B53659C" w14:textId="77777777" w:rsidR="003561BC" w:rsidRPr="003561BC" w:rsidRDefault="003561BC" w:rsidP="001D0769">
            <w:pPr>
              <w:rPr>
                <w:rFonts w:ascii="Times New Roman" w:hAnsi="Times New Roman" w:cs="Times New Roman"/>
              </w:rPr>
            </w:pPr>
            <w:r w:rsidRPr="003561BC">
              <w:rPr>
                <w:rFonts w:ascii="Times New Roman" w:hAnsi="Times New Roman" w:cs="Times New Roman"/>
              </w:rPr>
              <w:t>RMA</w:t>
            </w:r>
          </w:p>
        </w:tc>
        <w:tc>
          <w:tcPr>
            <w:tcW w:w="6831" w:type="dxa"/>
            <w:tcBorders>
              <w:top w:val="single" w:sz="4" w:space="0" w:color="auto"/>
              <w:left w:val="single" w:sz="4" w:space="0" w:color="auto"/>
              <w:bottom w:val="single" w:sz="4" w:space="0" w:color="auto"/>
              <w:right w:val="single" w:sz="4" w:space="0" w:color="auto"/>
            </w:tcBorders>
          </w:tcPr>
          <w:p w14:paraId="296E07E9" w14:textId="77777777" w:rsidR="003561BC" w:rsidRPr="003561BC" w:rsidRDefault="003561BC" w:rsidP="001D0769">
            <w:pPr>
              <w:rPr>
                <w:rFonts w:ascii="Times New Roman" w:hAnsi="Times New Roman" w:cs="Times New Roman"/>
              </w:rPr>
            </w:pPr>
            <w:r w:rsidRPr="003561BC">
              <w:rPr>
                <w:rFonts w:ascii="Times New Roman" w:hAnsi="Times New Roman" w:cs="Times New Roman"/>
              </w:rPr>
              <w:t>Repurchase Master Agreement</w:t>
            </w:r>
          </w:p>
        </w:tc>
      </w:tr>
      <w:tr w:rsidR="003D235A" w14:paraId="76D2227E"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0BFDF24B" w14:textId="77777777" w:rsidR="003D235A" w:rsidRPr="00A4627A" w:rsidRDefault="003D235A" w:rsidP="001D0769">
            <w:pPr>
              <w:rPr>
                <w:rFonts w:ascii="Times New Roman" w:hAnsi="Times New Roman" w:cs="Times New Roman"/>
              </w:rPr>
            </w:pPr>
            <w:r w:rsidRPr="00A4627A">
              <w:rPr>
                <w:rFonts w:ascii="Times New Roman" w:hAnsi="Times New Roman" w:cs="Times New Roman"/>
              </w:rPr>
              <w:t>Repos</w:t>
            </w:r>
          </w:p>
        </w:tc>
        <w:tc>
          <w:tcPr>
            <w:tcW w:w="6831" w:type="dxa"/>
            <w:tcBorders>
              <w:top w:val="single" w:sz="4" w:space="0" w:color="auto"/>
              <w:left w:val="single" w:sz="4" w:space="0" w:color="auto"/>
              <w:bottom w:val="single" w:sz="4" w:space="0" w:color="auto"/>
              <w:right w:val="single" w:sz="4" w:space="0" w:color="auto"/>
            </w:tcBorders>
          </w:tcPr>
          <w:p w14:paraId="2844EA02" w14:textId="77777777" w:rsidR="003D235A" w:rsidRPr="00A4627A" w:rsidRDefault="00A4627A" w:rsidP="001D0769">
            <w:pPr>
              <w:rPr>
                <w:rFonts w:ascii="Times New Roman" w:hAnsi="Times New Roman" w:cs="Times New Roman"/>
              </w:rPr>
            </w:pPr>
            <w:r>
              <w:rPr>
                <w:rFonts w:ascii="Times New Roman" w:hAnsi="Times New Roman" w:cs="Times New Roman"/>
              </w:rPr>
              <w:t>Repurchase Agreements</w:t>
            </w:r>
          </w:p>
        </w:tc>
      </w:tr>
      <w:tr w:rsidR="003D235A" w14:paraId="0859CDF5"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76823ED2" w14:textId="77777777" w:rsidR="003D235A" w:rsidRPr="00A4627A" w:rsidRDefault="003D235A" w:rsidP="001D0769">
            <w:pPr>
              <w:rPr>
                <w:rFonts w:ascii="Times New Roman" w:hAnsi="Times New Roman" w:cs="Times New Roman"/>
              </w:rPr>
            </w:pPr>
            <w:r w:rsidRPr="003F04B9">
              <w:rPr>
                <w:rFonts w:ascii="Times New Roman" w:hAnsi="Times New Roman" w:cs="Times New Roman"/>
              </w:rPr>
              <w:t>SCPNG</w:t>
            </w:r>
          </w:p>
        </w:tc>
        <w:tc>
          <w:tcPr>
            <w:tcW w:w="6831" w:type="dxa"/>
            <w:tcBorders>
              <w:top w:val="single" w:sz="4" w:space="0" w:color="auto"/>
              <w:left w:val="single" w:sz="4" w:space="0" w:color="auto"/>
              <w:bottom w:val="single" w:sz="4" w:space="0" w:color="auto"/>
              <w:right w:val="single" w:sz="4" w:space="0" w:color="auto"/>
            </w:tcBorders>
          </w:tcPr>
          <w:p w14:paraId="7DB0F2A6" w14:textId="77777777" w:rsidR="003D235A" w:rsidRPr="00A4627A" w:rsidRDefault="003D235A" w:rsidP="001D0769">
            <w:pPr>
              <w:rPr>
                <w:rFonts w:ascii="Times New Roman" w:hAnsi="Times New Roman" w:cs="Times New Roman"/>
              </w:rPr>
            </w:pPr>
            <w:r w:rsidRPr="003F04B9">
              <w:rPr>
                <w:rFonts w:ascii="Times New Roman" w:hAnsi="Times New Roman" w:cs="Times New Roman"/>
              </w:rPr>
              <w:t>Securities Commission of Papua New Guinea</w:t>
            </w:r>
          </w:p>
        </w:tc>
      </w:tr>
      <w:tr w:rsidR="00665304" w14:paraId="2D46935C"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783EE905" w14:textId="77777777" w:rsidR="00665304" w:rsidRPr="00665304" w:rsidRDefault="00665304" w:rsidP="001D0769">
            <w:pPr>
              <w:rPr>
                <w:rFonts w:ascii="Times New Roman" w:hAnsi="Times New Roman" w:cs="Times New Roman"/>
              </w:rPr>
            </w:pPr>
            <w:r w:rsidRPr="00665304">
              <w:rPr>
                <w:rFonts w:ascii="Times New Roman" w:hAnsi="Times New Roman" w:cs="Times New Roman"/>
              </w:rPr>
              <w:t>SME</w:t>
            </w:r>
          </w:p>
        </w:tc>
        <w:tc>
          <w:tcPr>
            <w:tcW w:w="6831" w:type="dxa"/>
            <w:tcBorders>
              <w:top w:val="single" w:sz="4" w:space="0" w:color="auto"/>
              <w:left w:val="single" w:sz="4" w:space="0" w:color="auto"/>
              <w:bottom w:val="single" w:sz="4" w:space="0" w:color="auto"/>
              <w:right w:val="single" w:sz="4" w:space="0" w:color="auto"/>
            </w:tcBorders>
          </w:tcPr>
          <w:p w14:paraId="207E6DCA" w14:textId="77777777" w:rsidR="00665304" w:rsidRPr="00665304" w:rsidRDefault="00665304" w:rsidP="001D0769">
            <w:pPr>
              <w:rPr>
                <w:rFonts w:ascii="Times New Roman" w:hAnsi="Times New Roman" w:cs="Times New Roman"/>
              </w:rPr>
            </w:pPr>
            <w:r w:rsidRPr="00665304">
              <w:rPr>
                <w:rFonts w:ascii="Times New Roman" w:hAnsi="Times New Roman" w:cs="Times New Roman"/>
              </w:rPr>
              <w:t>Small &amp; Medium Enterprises</w:t>
            </w:r>
          </w:p>
        </w:tc>
      </w:tr>
      <w:tr w:rsidR="001D0769" w14:paraId="24CC38F4"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078FF403" w14:textId="77777777" w:rsidR="001D0769" w:rsidRPr="003F04B9" w:rsidRDefault="001D0769" w:rsidP="001D0769">
            <w:pPr>
              <w:rPr>
                <w:rFonts w:ascii="Times New Roman" w:hAnsi="Times New Roman" w:cs="Times New Roman"/>
              </w:rPr>
            </w:pPr>
            <w:r w:rsidRPr="003F04B9">
              <w:rPr>
                <w:rFonts w:ascii="Times New Roman" w:hAnsi="Times New Roman" w:cs="Times New Roman"/>
              </w:rPr>
              <w:t>Treasury</w:t>
            </w:r>
          </w:p>
        </w:tc>
        <w:tc>
          <w:tcPr>
            <w:tcW w:w="6831" w:type="dxa"/>
            <w:tcBorders>
              <w:top w:val="single" w:sz="4" w:space="0" w:color="auto"/>
              <w:left w:val="single" w:sz="4" w:space="0" w:color="auto"/>
              <w:bottom w:val="single" w:sz="4" w:space="0" w:color="auto"/>
              <w:right w:val="single" w:sz="4" w:space="0" w:color="auto"/>
            </w:tcBorders>
          </w:tcPr>
          <w:p w14:paraId="3890C46C" w14:textId="77777777" w:rsidR="001D0769" w:rsidRPr="003F04B9" w:rsidRDefault="001D0769" w:rsidP="001D0769">
            <w:pPr>
              <w:rPr>
                <w:rFonts w:ascii="Times New Roman" w:hAnsi="Times New Roman" w:cs="Times New Roman"/>
              </w:rPr>
            </w:pPr>
            <w:r w:rsidRPr="003F04B9">
              <w:rPr>
                <w:rFonts w:ascii="Times New Roman" w:hAnsi="Times New Roman" w:cs="Times New Roman"/>
              </w:rPr>
              <w:t>Department of Treasury</w:t>
            </w:r>
          </w:p>
        </w:tc>
      </w:tr>
      <w:tr w:rsidR="00532269" w14:paraId="232509D2" w14:textId="77777777" w:rsidTr="00532269">
        <w:trPr>
          <w:jc w:val="center"/>
        </w:trPr>
        <w:tc>
          <w:tcPr>
            <w:tcW w:w="1776" w:type="dxa"/>
            <w:tcBorders>
              <w:top w:val="single" w:sz="4" w:space="0" w:color="auto"/>
              <w:left w:val="single" w:sz="4" w:space="0" w:color="auto"/>
              <w:bottom w:val="single" w:sz="4" w:space="0" w:color="auto"/>
              <w:right w:val="single" w:sz="4" w:space="0" w:color="auto"/>
            </w:tcBorders>
          </w:tcPr>
          <w:p w14:paraId="49B1BAB0" w14:textId="77777777" w:rsidR="00532269" w:rsidRPr="003F04B9" w:rsidRDefault="001D0769" w:rsidP="00532269">
            <w:pPr>
              <w:rPr>
                <w:rFonts w:ascii="Times New Roman" w:hAnsi="Times New Roman" w:cs="Times New Roman"/>
              </w:rPr>
            </w:pPr>
            <w:r w:rsidRPr="003F04B9">
              <w:rPr>
                <w:rFonts w:ascii="Times New Roman" w:hAnsi="Times New Roman" w:cs="Times New Roman"/>
              </w:rPr>
              <w:t>T-bills</w:t>
            </w:r>
          </w:p>
        </w:tc>
        <w:tc>
          <w:tcPr>
            <w:tcW w:w="6831" w:type="dxa"/>
            <w:tcBorders>
              <w:top w:val="single" w:sz="4" w:space="0" w:color="auto"/>
              <w:left w:val="single" w:sz="4" w:space="0" w:color="auto"/>
              <w:bottom w:val="single" w:sz="4" w:space="0" w:color="auto"/>
              <w:right w:val="single" w:sz="4" w:space="0" w:color="auto"/>
            </w:tcBorders>
          </w:tcPr>
          <w:p w14:paraId="4253C7CE" w14:textId="77777777" w:rsidR="00532269" w:rsidRPr="003F04B9" w:rsidRDefault="001D0769" w:rsidP="00532269">
            <w:pPr>
              <w:rPr>
                <w:rFonts w:ascii="Times New Roman" w:hAnsi="Times New Roman" w:cs="Times New Roman"/>
                <w:lang w:val="en-AU"/>
              </w:rPr>
            </w:pPr>
            <w:r w:rsidRPr="003F04B9">
              <w:rPr>
                <w:rFonts w:ascii="Times New Roman" w:hAnsi="Times New Roman" w:cs="Times New Roman"/>
                <w:lang w:val="en-AU"/>
              </w:rPr>
              <w:t>Treasury Bills</w:t>
            </w:r>
          </w:p>
        </w:tc>
      </w:tr>
      <w:tr w:rsidR="00532269" w14:paraId="22CE269C" w14:textId="77777777" w:rsidTr="001D0769">
        <w:trPr>
          <w:jc w:val="center"/>
        </w:trPr>
        <w:tc>
          <w:tcPr>
            <w:tcW w:w="1776" w:type="dxa"/>
            <w:tcBorders>
              <w:top w:val="single" w:sz="4" w:space="0" w:color="auto"/>
              <w:left w:val="single" w:sz="4" w:space="0" w:color="auto"/>
              <w:bottom w:val="single" w:sz="4" w:space="0" w:color="auto"/>
              <w:right w:val="single" w:sz="4" w:space="0" w:color="auto"/>
            </w:tcBorders>
          </w:tcPr>
          <w:p w14:paraId="5EF68AEA" w14:textId="77777777" w:rsidR="00532269" w:rsidRPr="003F04B9" w:rsidRDefault="00A4627A" w:rsidP="00532269">
            <w:pPr>
              <w:rPr>
                <w:rFonts w:ascii="Times New Roman" w:hAnsi="Times New Roman" w:cs="Times New Roman"/>
              </w:rPr>
            </w:pPr>
            <w:r>
              <w:rPr>
                <w:rFonts w:ascii="Times New Roman" w:hAnsi="Times New Roman" w:cs="Times New Roman"/>
              </w:rPr>
              <w:t>WB</w:t>
            </w:r>
          </w:p>
        </w:tc>
        <w:tc>
          <w:tcPr>
            <w:tcW w:w="6831" w:type="dxa"/>
            <w:tcBorders>
              <w:top w:val="single" w:sz="4" w:space="0" w:color="auto"/>
              <w:left w:val="single" w:sz="4" w:space="0" w:color="auto"/>
              <w:bottom w:val="single" w:sz="4" w:space="0" w:color="auto"/>
              <w:right w:val="single" w:sz="4" w:space="0" w:color="auto"/>
            </w:tcBorders>
          </w:tcPr>
          <w:p w14:paraId="333C13BE" w14:textId="77777777" w:rsidR="00532269" w:rsidRPr="003F04B9" w:rsidRDefault="00A4627A" w:rsidP="00532269">
            <w:pPr>
              <w:rPr>
                <w:rFonts w:ascii="Times New Roman" w:hAnsi="Times New Roman" w:cs="Times New Roman"/>
              </w:rPr>
            </w:pPr>
            <w:r>
              <w:rPr>
                <w:rFonts w:ascii="Times New Roman" w:hAnsi="Times New Roman" w:cs="Times New Roman"/>
              </w:rPr>
              <w:t>World Bank</w:t>
            </w:r>
          </w:p>
        </w:tc>
      </w:tr>
    </w:tbl>
    <w:p w14:paraId="32AAD67E" w14:textId="77777777" w:rsidR="001717F8" w:rsidRDefault="001717F8" w:rsidP="001D0769">
      <w:pPr>
        <w:jc w:val="both"/>
        <w:rPr>
          <w:b/>
          <w:noProof/>
          <w:sz w:val="28"/>
          <w:szCs w:val="28"/>
        </w:rPr>
      </w:pPr>
    </w:p>
    <w:p w14:paraId="5EF380CE" w14:textId="77777777" w:rsidR="001D0769" w:rsidRPr="003F04B9" w:rsidRDefault="00EA2D3A" w:rsidP="001D0769">
      <w:pPr>
        <w:jc w:val="center"/>
        <w:rPr>
          <w:rFonts w:cs="Times New Roman"/>
          <w:b/>
          <w:noProof/>
          <w:sz w:val="28"/>
          <w:szCs w:val="28"/>
        </w:rPr>
      </w:pPr>
      <w:r w:rsidRPr="003F04B9">
        <w:rPr>
          <w:rFonts w:cs="Times New Roman"/>
          <w:b/>
          <w:noProof/>
          <w:sz w:val="28"/>
          <w:szCs w:val="28"/>
        </w:rPr>
        <w:t>Preface</w:t>
      </w:r>
    </w:p>
    <w:p w14:paraId="3EA1414B" w14:textId="77777777" w:rsidR="001D0769" w:rsidRDefault="001D0769" w:rsidP="00B409BD">
      <w:pPr>
        <w:jc w:val="both"/>
        <w:rPr>
          <w:b/>
          <w:noProof/>
          <w:sz w:val="28"/>
          <w:szCs w:val="28"/>
        </w:rPr>
      </w:pPr>
    </w:p>
    <w:p w14:paraId="4B52A7A6" w14:textId="4A7691B2" w:rsidR="00B409BD" w:rsidRPr="003F04B9" w:rsidRDefault="00B409BD" w:rsidP="00B409BD">
      <w:pPr>
        <w:jc w:val="both"/>
        <w:rPr>
          <w:rFonts w:cs="Times New Roman"/>
        </w:rPr>
      </w:pPr>
      <w:r w:rsidRPr="003F04B9">
        <w:rPr>
          <w:rFonts w:cs="Times New Roman"/>
        </w:rPr>
        <w:t xml:space="preserve">As part of the </w:t>
      </w:r>
      <w:r w:rsidR="00BD51E3">
        <w:rPr>
          <w:rFonts w:cs="Times New Roman"/>
        </w:rPr>
        <w:t xml:space="preserve">FIRST TA to PNG on PNG </w:t>
      </w:r>
      <w:r w:rsidRPr="003F04B9">
        <w:rPr>
          <w:rFonts w:cs="Times New Roman"/>
        </w:rPr>
        <w:t>Financial Se</w:t>
      </w:r>
      <w:r w:rsidR="00BD51E3">
        <w:rPr>
          <w:rFonts w:cs="Times New Roman"/>
        </w:rPr>
        <w:t xml:space="preserve">rvices Sector Development Strategy project, </w:t>
      </w:r>
      <w:r w:rsidRPr="003F04B9">
        <w:rPr>
          <w:rFonts w:cs="Times New Roman"/>
        </w:rPr>
        <w:t xml:space="preserve">the mission was requested by the authorities to prepare a </w:t>
      </w:r>
      <w:r w:rsidR="0039402A">
        <w:rPr>
          <w:rFonts w:cs="Times New Roman"/>
        </w:rPr>
        <w:t xml:space="preserve">technical </w:t>
      </w:r>
      <w:r w:rsidRPr="003F04B9">
        <w:rPr>
          <w:rFonts w:cs="Times New Roman"/>
        </w:rPr>
        <w:t>note</w:t>
      </w:r>
      <w:r w:rsidR="0039402A">
        <w:rPr>
          <w:rFonts w:cs="Times New Roman"/>
        </w:rPr>
        <w:t xml:space="preserve"> with the main considerations for </w:t>
      </w:r>
      <w:r w:rsidRPr="003F04B9">
        <w:rPr>
          <w:rFonts w:cs="Times New Roman"/>
        </w:rPr>
        <w:t xml:space="preserve">developing the </w:t>
      </w:r>
      <w:r w:rsidR="0039402A">
        <w:rPr>
          <w:rFonts w:cs="Times New Roman"/>
        </w:rPr>
        <w:t>government bond and capital markets</w:t>
      </w:r>
      <w:r w:rsidR="00B0274A">
        <w:rPr>
          <w:rFonts w:cs="Times New Roman"/>
        </w:rPr>
        <w:t xml:space="preserve"> in Papua New Guinea</w:t>
      </w:r>
      <w:r w:rsidR="0039402A">
        <w:rPr>
          <w:rFonts w:cs="Times New Roman"/>
        </w:rPr>
        <w:t>. The Senior Consultant visited Port Moresby from May 18-29, 2015 and conducted a fact-finding and assessment mission</w:t>
      </w:r>
      <w:r w:rsidRPr="003F04B9">
        <w:rPr>
          <w:rFonts w:cs="Times New Roman"/>
        </w:rPr>
        <w:t>. This report is classified as Strictly Confidential and access to it is restricted to those having specific, absolute and ess</w:t>
      </w:r>
      <w:r w:rsidR="00BD51E3">
        <w:rPr>
          <w:rFonts w:cs="Times New Roman"/>
        </w:rPr>
        <w:t xml:space="preserve">ential need for the information.   </w:t>
      </w:r>
    </w:p>
    <w:p w14:paraId="3CF65722" w14:textId="77777777" w:rsidR="00B409BD" w:rsidRPr="003F04B9" w:rsidRDefault="00B409BD" w:rsidP="00B409BD">
      <w:pPr>
        <w:jc w:val="both"/>
        <w:rPr>
          <w:rFonts w:cs="Times New Roman"/>
        </w:rPr>
      </w:pPr>
    </w:p>
    <w:p w14:paraId="5179864C" w14:textId="77777777" w:rsidR="00B409BD" w:rsidRPr="003F04B9" w:rsidRDefault="0039402A" w:rsidP="00B409BD">
      <w:pPr>
        <w:jc w:val="both"/>
        <w:rPr>
          <w:rFonts w:cs="Times New Roman"/>
        </w:rPr>
      </w:pPr>
      <w:r>
        <w:rPr>
          <w:rFonts w:cs="Times New Roman"/>
        </w:rPr>
        <w:t>The Senior Consultant</w:t>
      </w:r>
      <w:r w:rsidR="00B409BD" w:rsidRPr="003F04B9">
        <w:rPr>
          <w:rFonts w:cs="Times New Roman"/>
        </w:rPr>
        <w:t xml:space="preserve"> is grateful to the officials and staff of the Bank of Papua New Guinea and the Department of Treasury of Papua New Guinea for their assistance and hospitality.</w:t>
      </w:r>
    </w:p>
    <w:p w14:paraId="3E21EE5F" w14:textId="77777777" w:rsidR="001D0769" w:rsidRPr="003F04B9" w:rsidRDefault="001D0769" w:rsidP="001D0769">
      <w:pPr>
        <w:jc w:val="center"/>
        <w:rPr>
          <w:rFonts w:cs="Times New Roman"/>
          <w:b/>
          <w:noProof/>
        </w:rPr>
      </w:pPr>
    </w:p>
    <w:p w14:paraId="36C28768" w14:textId="77777777" w:rsidR="001D0769" w:rsidRPr="003F04B9" w:rsidRDefault="001D0769" w:rsidP="001D0769">
      <w:pPr>
        <w:jc w:val="center"/>
        <w:rPr>
          <w:rFonts w:cs="Times New Roman"/>
          <w:b/>
          <w:noProof/>
        </w:rPr>
      </w:pPr>
    </w:p>
    <w:p w14:paraId="5FD172E7" w14:textId="77777777" w:rsidR="001D0769" w:rsidRDefault="001D0769" w:rsidP="001D0769">
      <w:pPr>
        <w:jc w:val="center"/>
        <w:rPr>
          <w:b/>
          <w:noProof/>
          <w:sz w:val="28"/>
          <w:szCs w:val="28"/>
        </w:rPr>
      </w:pPr>
    </w:p>
    <w:p w14:paraId="0131E4C2" w14:textId="77777777" w:rsidR="001D0769" w:rsidRDefault="001D0769" w:rsidP="001D0769">
      <w:pPr>
        <w:jc w:val="center"/>
        <w:rPr>
          <w:b/>
          <w:noProof/>
          <w:sz w:val="28"/>
          <w:szCs w:val="28"/>
        </w:rPr>
      </w:pPr>
    </w:p>
    <w:p w14:paraId="72219BF9" w14:textId="77777777" w:rsidR="001D0769" w:rsidRDefault="001D0769" w:rsidP="001D0769">
      <w:pPr>
        <w:jc w:val="center"/>
        <w:rPr>
          <w:b/>
          <w:noProof/>
          <w:sz w:val="28"/>
          <w:szCs w:val="28"/>
        </w:rPr>
      </w:pPr>
    </w:p>
    <w:p w14:paraId="0E6993D3" w14:textId="77777777" w:rsidR="001D0769" w:rsidRDefault="001D0769" w:rsidP="001D0769">
      <w:pPr>
        <w:jc w:val="center"/>
        <w:rPr>
          <w:b/>
          <w:noProof/>
          <w:sz w:val="28"/>
          <w:szCs w:val="28"/>
        </w:rPr>
      </w:pPr>
    </w:p>
    <w:p w14:paraId="0358C81E" w14:textId="77777777" w:rsidR="001D0769" w:rsidRDefault="001D0769" w:rsidP="001D0769">
      <w:pPr>
        <w:jc w:val="center"/>
        <w:rPr>
          <w:b/>
          <w:noProof/>
          <w:sz w:val="28"/>
          <w:szCs w:val="28"/>
        </w:rPr>
      </w:pPr>
    </w:p>
    <w:p w14:paraId="0001DECD" w14:textId="77777777" w:rsidR="001D0769" w:rsidRDefault="001D0769" w:rsidP="001D0769">
      <w:pPr>
        <w:jc w:val="center"/>
        <w:rPr>
          <w:b/>
          <w:noProof/>
          <w:sz w:val="28"/>
          <w:szCs w:val="28"/>
        </w:rPr>
      </w:pPr>
    </w:p>
    <w:p w14:paraId="62CCFEEA" w14:textId="77777777" w:rsidR="001D0769" w:rsidRDefault="001D0769" w:rsidP="001D0769">
      <w:pPr>
        <w:jc w:val="center"/>
        <w:rPr>
          <w:b/>
          <w:noProof/>
          <w:sz w:val="28"/>
          <w:szCs w:val="28"/>
        </w:rPr>
      </w:pPr>
    </w:p>
    <w:p w14:paraId="6D5C49CC" w14:textId="77777777" w:rsidR="001D0769" w:rsidRDefault="001D0769" w:rsidP="001D0769">
      <w:pPr>
        <w:jc w:val="center"/>
        <w:rPr>
          <w:b/>
          <w:noProof/>
          <w:sz w:val="28"/>
          <w:szCs w:val="28"/>
        </w:rPr>
      </w:pPr>
    </w:p>
    <w:p w14:paraId="0888094E" w14:textId="77777777" w:rsidR="001D0769" w:rsidRDefault="001D0769" w:rsidP="001D0769">
      <w:pPr>
        <w:jc w:val="center"/>
        <w:rPr>
          <w:b/>
          <w:noProof/>
          <w:sz w:val="28"/>
          <w:szCs w:val="28"/>
        </w:rPr>
      </w:pPr>
    </w:p>
    <w:p w14:paraId="65D9A1EB" w14:textId="77777777" w:rsidR="001D0769" w:rsidRDefault="001D0769" w:rsidP="001D0769">
      <w:pPr>
        <w:jc w:val="center"/>
        <w:rPr>
          <w:b/>
          <w:noProof/>
          <w:sz w:val="28"/>
          <w:szCs w:val="28"/>
        </w:rPr>
      </w:pPr>
    </w:p>
    <w:p w14:paraId="69259121" w14:textId="77777777" w:rsidR="001D0769" w:rsidRDefault="001D0769" w:rsidP="001D0769">
      <w:pPr>
        <w:jc w:val="center"/>
        <w:rPr>
          <w:b/>
          <w:noProof/>
          <w:sz w:val="28"/>
          <w:szCs w:val="28"/>
        </w:rPr>
      </w:pPr>
    </w:p>
    <w:p w14:paraId="613D9A3E" w14:textId="77777777" w:rsidR="001D0769" w:rsidRDefault="001D0769" w:rsidP="001D0769">
      <w:pPr>
        <w:jc w:val="center"/>
        <w:rPr>
          <w:b/>
          <w:noProof/>
          <w:sz w:val="28"/>
          <w:szCs w:val="28"/>
        </w:rPr>
      </w:pPr>
    </w:p>
    <w:p w14:paraId="13533503" w14:textId="77777777" w:rsidR="001D0769" w:rsidRDefault="001D0769" w:rsidP="001D0769">
      <w:pPr>
        <w:jc w:val="center"/>
        <w:rPr>
          <w:b/>
          <w:noProof/>
          <w:sz w:val="28"/>
          <w:szCs w:val="28"/>
        </w:rPr>
      </w:pPr>
    </w:p>
    <w:p w14:paraId="7A256A8F" w14:textId="77777777" w:rsidR="001D0769" w:rsidRDefault="001D0769" w:rsidP="001D0769">
      <w:pPr>
        <w:jc w:val="center"/>
        <w:rPr>
          <w:b/>
          <w:noProof/>
          <w:sz w:val="28"/>
          <w:szCs w:val="28"/>
        </w:rPr>
      </w:pPr>
    </w:p>
    <w:p w14:paraId="0875F22E" w14:textId="77777777" w:rsidR="001D0769" w:rsidRDefault="001D0769" w:rsidP="001D0769">
      <w:pPr>
        <w:jc w:val="center"/>
        <w:rPr>
          <w:b/>
          <w:noProof/>
          <w:sz w:val="28"/>
          <w:szCs w:val="28"/>
        </w:rPr>
      </w:pPr>
    </w:p>
    <w:p w14:paraId="2FD87680" w14:textId="77777777" w:rsidR="001D0769" w:rsidRDefault="001D0769" w:rsidP="001D0769">
      <w:pPr>
        <w:jc w:val="center"/>
        <w:rPr>
          <w:b/>
          <w:noProof/>
          <w:sz w:val="28"/>
          <w:szCs w:val="28"/>
        </w:rPr>
      </w:pPr>
    </w:p>
    <w:p w14:paraId="1E46D149" w14:textId="77777777" w:rsidR="001D0769" w:rsidRDefault="001D0769" w:rsidP="001D0769">
      <w:pPr>
        <w:jc w:val="center"/>
        <w:rPr>
          <w:b/>
          <w:noProof/>
          <w:sz w:val="28"/>
          <w:szCs w:val="28"/>
        </w:rPr>
      </w:pPr>
    </w:p>
    <w:p w14:paraId="1DD7AD9F" w14:textId="77777777" w:rsidR="001D0769" w:rsidRDefault="001D0769" w:rsidP="001D0769">
      <w:pPr>
        <w:jc w:val="center"/>
        <w:rPr>
          <w:b/>
          <w:noProof/>
          <w:sz w:val="28"/>
          <w:szCs w:val="28"/>
        </w:rPr>
      </w:pPr>
    </w:p>
    <w:p w14:paraId="762C66E7" w14:textId="77777777" w:rsidR="001D0769" w:rsidRDefault="001D0769" w:rsidP="001D0769">
      <w:pPr>
        <w:jc w:val="center"/>
        <w:rPr>
          <w:b/>
          <w:noProof/>
          <w:sz w:val="28"/>
          <w:szCs w:val="28"/>
        </w:rPr>
      </w:pPr>
    </w:p>
    <w:p w14:paraId="2074AA53" w14:textId="77777777" w:rsidR="001D0769" w:rsidRDefault="001D0769" w:rsidP="001D0769">
      <w:pPr>
        <w:jc w:val="center"/>
        <w:rPr>
          <w:b/>
          <w:noProof/>
          <w:sz w:val="28"/>
          <w:szCs w:val="28"/>
        </w:rPr>
      </w:pPr>
    </w:p>
    <w:p w14:paraId="36B6F61D" w14:textId="77777777" w:rsidR="009E0304" w:rsidRDefault="009E0304" w:rsidP="003D235A">
      <w:pPr>
        <w:rPr>
          <w:b/>
          <w:noProof/>
          <w:sz w:val="28"/>
          <w:szCs w:val="28"/>
        </w:rPr>
      </w:pPr>
    </w:p>
    <w:p w14:paraId="240C86B6" w14:textId="77777777" w:rsidR="003D235A" w:rsidRDefault="003D235A" w:rsidP="003D235A">
      <w:pPr>
        <w:rPr>
          <w:b/>
          <w:noProof/>
          <w:sz w:val="28"/>
          <w:szCs w:val="28"/>
        </w:rPr>
      </w:pPr>
    </w:p>
    <w:p w14:paraId="0F98B53C" w14:textId="77777777" w:rsidR="00174A65" w:rsidRDefault="00174A65" w:rsidP="001D0769">
      <w:pPr>
        <w:jc w:val="center"/>
        <w:rPr>
          <w:b/>
          <w:noProof/>
          <w:sz w:val="28"/>
          <w:szCs w:val="28"/>
        </w:rPr>
      </w:pPr>
    </w:p>
    <w:p w14:paraId="41C03886" w14:textId="77777777" w:rsidR="00BD51E3" w:rsidRDefault="00BD51E3" w:rsidP="001D0769">
      <w:pPr>
        <w:jc w:val="center"/>
        <w:rPr>
          <w:b/>
          <w:noProof/>
          <w:sz w:val="28"/>
          <w:szCs w:val="28"/>
        </w:rPr>
      </w:pPr>
    </w:p>
    <w:p w14:paraId="441D063F" w14:textId="77777777" w:rsidR="00083E32" w:rsidRDefault="00083E32" w:rsidP="001D0769">
      <w:pPr>
        <w:jc w:val="center"/>
        <w:rPr>
          <w:b/>
          <w:noProof/>
          <w:sz w:val="28"/>
          <w:szCs w:val="28"/>
        </w:rPr>
      </w:pPr>
    </w:p>
    <w:p w14:paraId="01A0468D" w14:textId="77777777" w:rsidR="001D0769" w:rsidRDefault="001D0769" w:rsidP="00B409BD">
      <w:pPr>
        <w:rPr>
          <w:b/>
          <w:noProof/>
          <w:sz w:val="28"/>
          <w:szCs w:val="28"/>
        </w:rPr>
      </w:pPr>
    </w:p>
    <w:p w14:paraId="7CBF46D1" w14:textId="77777777" w:rsidR="001D0769" w:rsidRPr="003F04B9" w:rsidRDefault="005A67B4" w:rsidP="001D0769">
      <w:pPr>
        <w:jc w:val="center"/>
        <w:rPr>
          <w:rFonts w:cs="Times New Roman"/>
          <w:b/>
          <w:noProof/>
          <w:sz w:val="28"/>
          <w:szCs w:val="28"/>
        </w:rPr>
      </w:pPr>
      <w:r w:rsidRPr="003F04B9">
        <w:rPr>
          <w:rFonts w:cs="Times New Roman"/>
          <w:b/>
          <w:noProof/>
          <w:sz w:val="28"/>
          <w:szCs w:val="28"/>
        </w:rPr>
        <w:lastRenderedPageBreak/>
        <w:t xml:space="preserve">I. </w:t>
      </w:r>
      <w:r w:rsidR="00EA2D3A" w:rsidRPr="003F04B9">
        <w:rPr>
          <w:rFonts w:cs="Times New Roman"/>
          <w:b/>
          <w:noProof/>
          <w:sz w:val="28"/>
          <w:szCs w:val="28"/>
        </w:rPr>
        <w:t>Executive Summary</w:t>
      </w:r>
    </w:p>
    <w:p w14:paraId="510CB796" w14:textId="77777777" w:rsidR="001D0769" w:rsidRPr="00F606CC" w:rsidRDefault="001D0769" w:rsidP="001D0769">
      <w:pPr>
        <w:jc w:val="center"/>
        <w:rPr>
          <w:b/>
          <w:noProof/>
        </w:rPr>
      </w:pPr>
    </w:p>
    <w:p w14:paraId="6FEBDE04" w14:textId="77777777" w:rsidR="00AF5B56" w:rsidRPr="00AF5B56" w:rsidRDefault="00AF5B56" w:rsidP="00AF5B56">
      <w:pPr>
        <w:pStyle w:val="ListParagraph"/>
        <w:widowControl w:val="0"/>
        <w:numPr>
          <w:ilvl w:val="0"/>
          <w:numId w:val="2"/>
        </w:numPr>
        <w:spacing w:after="240"/>
        <w:ind w:left="0" w:firstLine="0"/>
        <w:contextualSpacing w:val="0"/>
        <w:jc w:val="both"/>
      </w:pPr>
      <w:r w:rsidRPr="000F283C">
        <w:t xml:space="preserve">This review is an input to the Financial </w:t>
      </w:r>
      <w:r>
        <w:t>Services Sector R</w:t>
      </w:r>
      <w:r w:rsidRPr="000F283C">
        <w:t>evi</w:t>
      </w:r>
      <w:r>
        <w:t xml:space="preserve">ew being undertaken by </w:t>
      </w:r>
      <w:r w:rsidR="00AC3E71">
        <w:t xml:space="preserve">the </w:t>
      </w:r>
      <w:r w:rsidRPr="000F283C">
        <w:t xml:space="preserve">PNG </w:t>
      </w:r>
      <w:r>
        <w:t xml:space="preserve">Department of </w:t>
      </w:r>
      <w:r w:rsidRPr="000F283C">
        <w:t>Treasury</w:t>
      </w:r>
      <w:r>
        <w:t xml:space="preserve"> and </w:t>
      </w:r>
      <w:r w:rsidR="00AC3E71">
        <w:t xml:space="preserve">the </w:t>
      </w:r>
      <w:r>
        <w:t>Bank of Papua New Guinea</w:t>
      </w:r>
      <w:r w:rsidR="00364DF0">
        <w:t xml:space="preserve"> (BPNG)</w:t>
      </w:r>
      <w:r w:rsidRPr="000F283C">
        <w:t xml:space="preserve">. The </w:t>
      </w:r>
      <w:r>
        <w:t>purpose</w:t>
      </w:r>
      <w:r w:rsidRPr="000F283C">
        <w:t xml:space="preserve"> of this review is to provide an input to the </w:t>
      </w:r>
      <w:r>
        <w:t xml:space="preserve">review and </w:t>
      </w:r>
      <w:r w:rsidRPr="000F283C">
        <w:t xml:space="preserve">further development of the </w:t>
      </w:r>
      <w:r>
        <w:t>Government Securities and Capital Markets</w:t>
      </w:r>
      <w:r w:rsidR="00EB2ADB">
        <w:t xml:space="preserve"> in PNG</w:t>
      </w:r>
      <w:r>
        <w:t>. The</w:t>
      </w:r>
      <w:r w:rsidRPr="009B5A29">
        <w:t xml:space="preserve"> review has sought to:</w:t>
      </w:r>
    </w:p>
    <w:p w14:paraId="46B12834" w14:textId="77777777" w:rsidR="00CB0CC1" w:rsidRDefault="00AF5B56" w:rsidP="00F04788">
      <w:pPr>
        <w:pStyle w:val="ListParagraph"/>
        <w:widowControl w:val="0"/>
        <w:numPr>
          <w:ilvl w:val="0"/>
          <w:numId w:val="4"/>
        </w:numPr>
        <w:spacing w:after="240"/>
        <w:contextualSpacing w:val="0"/>
        <w:jc w:val="both"/>
        <w:rPr>
          <w:rFonts w:cs="Times New Roman"/>
        </w:rPr>
      </w:pPr>
      <w:r>
        <w:rPr>
          <w:rFonts w:cs="Times New Roman"/>
        </w:rPr>
        <w:t xml:space="preserve">Assess the </w:t>
      </w:r>
      <w:r w:rsidR="00CB0CC1" w:rsidRPr="003F04B9">
        <w:rPr>
          <w:rFonts w:cs="Times New Roman"/>
        </w:rPr>
        <w:t>current legal, regulatory and supervisory</w:t>
      </w:r>
      <w:r w:rsidR="00A1526F">
        <w:rPr>
          <w:rFonts w:cs="Times New Roman"/>
        </w:rPr>
        <w:t xml:space="preserve"> framework for </w:t>
      </w:r>
      <w:r w:rsidR="00AC3E71">
        <w:rPr>
          <w:rFonts w:cs="Times New Roman"/>
        </w:rPr>
        <w:t xml:space="preserve">the </w:t>
      </w:r>
      <w:r w:rsidR="00A1526F">
        <w:rPr>
          <w:rFonts w:cs="Times New Roman"/>
        </w:rPr>
        <w:t xml:space="preserve">government bond and capital market </w:t>
      </w:r>
      <w:r w:rsidR="00EB2ADB">
        <w:rPr>
          <w:rFonts w:cs="Times New Roman"/>
        </w:rPr>
        <w:t>in PNG.</w:t>
      </w:r>
      <w:r w:rsidR="00CB0CC1" w:rsidRPr="003F04B9">
        <w:rPr>
          <w:rFonts w:cs="Times New Roman"/>
        </w:rPr>
        <w:t xml:space="preserve">   </w:t>
      </w:r>
    </w:p>
    <w:p w14:paraId="15602A56" w14:textId="77777777" w:rsidR="00AF5B56" w:rsidRPr="003F04B9" w:rsidRDefault="00AF5B56" w:rsidP="00F04788">
      <w:pPr>
        <w:pStyle w:val="ListParagraph"/>
        <w:widowControl w:val="0"/>
        <w:numPr>
          <w:ilvl w:val="0"/>
          <w:numId w:val="4"/>
        </w:numPr>
        <w:spacing w:after="240"/>
        <w:contextualSpacing w:val="0"/>
        <w:jc w:val="both"/>
        <w:rPr>
          <w:rFonts w:cs="Times New Roman"/>
        </w:rPr>
      </w:pPr>
      <w:r>
        <w:rPr>
          <w:rFonts w:cs="Times New Roman"/>
        </w:rPr>
        <w:t xml:space="preserve">Assess issues and impediments to developing the government securities &amp; capital market in PNG relating to the supply and demand of government securities; </w:t>
      </w:r>
      <w:r w:rsidR="00AC3E71">
        <w:rPr>
          <w:rFonts w:cs="Times New Roman"/>
        </w:rPr>
        <w:t xml:space="preserve">including </w:t>
      </w:r>
      <w:r>
        <w:rPr>
          <w:rFonts w:cs="Times New Roman"/>
        </w:rPr>
        <w:t xml:space="preserve">agency, investors, and market participants roles and presence in the local market; </w:t>
      </w:r>
      <w:r w:rsidR="00AC3E71">
        <w:rPr>
          <w:rFonts w:cs="Times New Roman"/>
        </w:rPr>
        <w:t xml:space="preserve">and </w:t>
      </w:r>
      <w:r>
        <w:rPr>
          <w:rFonts w:cs="Times New Roman"/>
        </w:rPr>
        <w:t>market infrastructure capacity and efficiencies in government securities trading and clearing and settlement.</w:t>
      </w:r>
    </w:p>
    <w:p w14:paraId="2544D7BF" w14:textId="77777777" w:rsidR="00364DF0" w:rsidRDefault="00AF5B56" w:rsidP="00F04788">
      <w:pPr>
        <w:pStyle w:val="ListParagraph"/>
        <w:numPr>
          <w:ilvl w:val="0"/>
          <w:numId w:val="4"/>
        </w:numPr>
        <w:jc w:val="both"/>
        <w:rPr>
          <w:rFonts w:cs="Times New Roman"/>
        </w:rPr>
      </w:pPr>
      <w:r>
        <w:rPr>
          <w:rFonts w:cs="Times New Roman"/>
        </w:rPr>
        <w:t>Recommend necessary</w:t>
      </w:r>
      <w:r w:rsidR="00364DF0">
        <w:rPr>
          <w:rFonts w:cs="Times New Roman"/>
        </w:rPr>
        <w:t xml:space="preserve"> </w:t>
      </w:r>
      <w:r w:rsidR="00CB0CC1" w:rsidRPr="003F04B9">
        <w:rPr>
          <w:rFonts w:cs="Times New Roman"/>
        </w:rPr>
        <w:t xml:space="preserve">reforms </w:t>
      </w:r>
      <w:r w:rsidR="00364DF0">
        <w:rPr>
          <w:rFonts w:cs="Times New Roman"/>
        </w:rPr>
        <w:t xml:space="preserve">and commitments </w:t>
      </w:r>
      <w:r w:rsidR="00CB0CC1" w:rsidRPr="003F04B9">
        <w:rPr>
          <w:rFonts w:cs="Times New Roman"/>
        </w:rPr>
        <w:t xml:space="preserve">needed in short-term and mid-term </w:t>
      </w:r>
      <w:r w:rsidR="00364DF0">
        <w:rPr>
          <w:rFonts w:cs="Times New Roman"/>
        </w:rPr>
        <w:t xml:space="preserve">for further development of the PNG government securities and capital markets. </w:t>
      </w:r>
    </w:p>
    <w:p w14:paraId="5D157E32" w14:textId="77777777" w:rsidR="00364DF0" w:rsidRDefault="00364DF0" w:rsidP="00364DF0">
      <w:pPr>
        <w:pStyle w:val="ListParagraph"/>
        <w:jc w:val="both"/>
        <w:rPr>
          <w:rFonts w:cs="Times New Roman"/>
        </w:rPr>
      </w:pPr>
    </w:p>
    <w:p w14:paraId="1C972CC4" w14:textId="77777777" w:rsidR="00CB0CC1" w:rsidRDefault="00364DF0" w:rsidP="00CB0CC1">
      <w:pPr>
        <w:pStyle w:val="ListParagraph"/>
        <w:widowControl w:val="0"/>
        <w:numPr>
          <w:ilvl w:val="0"/>
          <w:numId w:val="2"/>
        </w:numPr>
        <w:spacing w:after="240"/>
        <w:ind w:left="0" w:firstLine="0"/>
        <w:contextualSpacing w:val="0"/>
        <w:jc w:val="both"/>
        <w:rPr>
          <w:rFonts w:cs="Times New Roman"/>
        </w:rPr>
      </w:pPr>
      <w:r w:rsidRPr="00E806E4">
        <w:rPr>
          <w:rFonts w:cs="Times New Roman"/>
        </w:rPr>
        <w:t>The</w:t>
      </w:r>
      <w:r>
        <w:rPr>
          <w:rFonts w:cs="Times New Roman"/>
        </w:rPr>
        <w:t xml:space="preserve"> Dep</w:t>
      </w:r>
      <w:r w:rsidR="00C742BE">
        <w:rPr>
          <w:rFonts w:cs="Times New Roman"/>
        </w:rPr>
        <w:t>artment of Treasury</w:t>
      </w:r>
      <w:r w:rsidR="00D72ED4">
        <w:rPr>
          <w:rFonts w:cs="Times New Roman"/>
        </w:rPr>
        <w:t>, Financial Management Division (FMD),</w:t>
      </w:r>
      <w:r w:rsidR="00C742BE">
        <w:rPr>
          <w:rFonts w:cs="Times New Roman"/>
        </w:rPr>
        <w:t xml:space="preserve"> and </w:t>
      </w:r>
      <w:r w:rsidR="00AC3E71">
        <w:rPr>
          <w:rFonts w:cs="Times New Roman"/>
        </w:rPr>
        <w:t xml:space="preserve">the </w:t>
      </w:r>
      <w:r w:rsidR="00C742BE">
        <w:rPr>
          <w:rFonts w:cs="Times New Roman"/>
        </w:rPr>
        <w:t xml:space="preserve">Bank of Papua New Guinea </w:t>
      </w:r>
      <w:r w:rsidR="00E806E4">
        <w:rPr>
          <w:rFonts w:cs="Times New Roman"/>
        </w:rPr>
        <w:t xml:space="preserve">(BPNG) </w:t>
      </w:r>
      <w:r w:rsidR="00C742BE">
        <w:rPr>
          <w:rFonts w:cs="Times New Roman"/>
        </w:rPr>
        <w:t>have</w:t>
      </w:r>
      <w:r>
        <w:rPr>
          <w:rFonts w:cs="Times New Roman"/>
        </w:rPr>
        <w:t xml:space="preserve"> implemented various policy initiatives towards developing the domestic government securities </w:t>
      </w:r>
      <w:r w:rsidR="00C742BE">
        <w:rPr>
          <w:rFonts w:cs="Times New Roman"/>
        </w:rPr>
        <w:t>and capital markets.</w:t>
      </w:r>
      <w:r w:rsidR="00F36EA5">
        <w:rPr>
          <w:rFonts w:cs="Times New Roman"/>
        </w:rPr>
        <w:t xml:space="preserve"> The </w:t>
      </w:r>
      <w:r w:rsidR="00C742BE">
        <w:rPr>
          <w:rFonts w:cs="Times New Roman"/>
        </w:rPr>
        <w:t xml:space="preserve">issuance </w:t>
      </w:r>
      <w:r w:rsidR="00E806E4">
        <w:rPr>
          <w:rFonts w:cs="Times New Roman"/>
        </w:rPr>
        <w:t>of government securities is</w:t>
      </w:r>
      <w:r w:rsidR="00C742BE">
        <w:rPr>
          <w:rFonts w:cs="Times New Roman"/>
        </w:rPr>
        <w:t xml:space="preserve"> </w:t>
      </w:r>
      <w:r w:rsidR="00B0274A">
        <w:rPr>
          <w:rFonts w:cs="Times New Roman"/>
        </w:rPr>
        <w:t>a market-</w:t>
      </w:r>
      <w:r w:rsidR="00C742BE">
        <w:rPr>
          <w:rFonts w:cs="Times New Roman"/>
        </w:rPr>
        <w:t xml:space="preserve">based </w:t>
      </w:r>
      <w:r w:rsidR="00D72ED4">
        <w:rPr>
          <w:rFonts w:cs="Times New Roman"/>
        </w:rPr>
        <w:t xml:space="preserve">competitive </w:t>
      </w:r>
      <w:r w:rsidR="00B0274A">
        <w:rPr>
          <w:rFonts w:cs="Times New Roman"/>
        </w:rPr>
        <w:t>primary auction system</w:t>
      </w:r>
      <w:r w:rsidR="00E806E4">
        <w:rPr>
          <w:rFonts w:cs="Times New Roman"/>
        </w:rPr>
        <w:t xml:space="preserve"> </w:t>
      </w:r>
      <w:r w:rsidR="00C742BE">
        <w:rPr>
          <w:rFonts w:cs="Times New Roman"/>
        </w:rPr>
        <w:t xml:space="preserve">conducted by the </w:t>
      </w:r>
      <w:r w:rsidR="00E806E4">
        <w:rPr>
          <w:rFonts w:cs="Times New Roman"/>
        </w:rPr>
        <w:t>BPNG. Recently, the planning and lack of timely notification of the government’s issuance plans</w:t>
      </w:r>
      <w:r w:rsidR="00E06071">
        <w:rPr>
          <w:rFonts w:cs="Times New Roman"/>
        </w:rPr>
        <w:t xml:space="preserve"> for </w:t>
      </w:r>
      <w:r w:rsidR="00E806E4">
        <w:rPr>
          <w:rFonts w:cs="Times New Roman"/>
        </w:rPr>
        <w:t xml:space="preserve">T-bills and Government Inscribed Stock </w:t>
      </w:r>
      <w:r w:rsidR="00D72ED4">
        <w:rPr>
          <w:rFonts w:cs="Times New Roman"/>
        </w:rPr>
        <w:t xml:space="preserve">(GIS) </w:t>
      </w:r>
      <w:r w:rsidR="00E806E4">
        <w:rPr>
          <w:rFonts w:cs="Times New Roman"/>
        </w:rPr>
        <w:t xml:space="preserve">has been a concern for local investors. </w:t>
      </w:r>
    </w:p>
    <w:p w14:paraId="6E9D248E" w14:textId="743DA80C" w:rsidR="00E806E4" w:rsidRPr="00E806E4" w:rsidRDefault="00E806E4" w:rsidP="00CB0CC1">
      <w:pPr>
        <w:pStyle w:val="ListParagraph"/>
        <w:widowControl w:val="0"/>
        <w:numPr>
          <w:ilvl w:val="0"/>
          <w:numId w:val="2"/>
        </w:numPr>
        <w:spacing w:after="240"/>
        <w:ind w:left="0" w:firstLine="0"/>
        <w:contextualSpacing w:val="0"/>
        <w:jc w:val="both"/>
        <w:rPr>
          <w:rFonts w:cs="Times New Roman"/>
        </w:rPr>
      </w:pPr>
      <w:r w:rsidRPr="00E806E4">
        <w:rPr>
          <w:rFonts w:cs="Times New Roman"/>
        </w:rPr>
        <w:t xml:space="preserve">The holdings of domestic government securities is highly concentrated in the financial sector with commercial banks and superannuation funds holding roughly 70% of </w:t>
      </w:r>
      <w:r w:rsidR="00B0274A">
        <w:rPr>
          <w:rFonts w:cs="Times New Roman"/>
        </w:rPr>
        <w:t xml:space="preserve">the </w:t>
      </w:r>
      <w:r w:rsidRPr="00E806E4">
        <w:rPr>
          <w:rFonts w:cs="Times New Roman"/>
        </w:rPr>
        <w:t xml:space="preserve">outstanding </w:t>
      </w:r>
      <w:r w:rsidR="00B0274A">
        <w:rPr>
          <w:rFonts w:cs="Times New Roman"/>
        </w:rPr>
        <w:t xml:space="preserve">public </w:t>
      </w:r>
      <w:r w:rsidRPr="00E806E4">
        <w:rPr>
          <w:rFonts w:cs="Times New Roman"/>
        </w:rPr>
        <w:t>debt stock. Furthermore, beyond the 70% holdings from deposit taking institutions, the B</w:t>
      </w:r>
      <w:r w:rsidR="00AC3E71">
        <w:rPr>
          <w:rFonts w:cs="Times New Roman"/>
        </w:rPr>
        <w:t>PNG</w:t>
      </w:r>
      <w:r w:rsidRPr="00E806E4">
        <w:rPr>
          <w:rFonts w:cs="Times New Roman"/>
        </w:rPr>
        <w:t xml:space="preserve"> holds 22% of government debt. </w:t>
      </w:r>
      <w:r w:rsidR="00AC3E71">
        <w:rPr>
          <w:rFonts w:cs="Times New Roman"/>
        </w:rPr>
        <w:t xml:space="preserve">Both </w:t>
      </w:r>
      <w:r w:rsidR="00D72ED4">
        <w:rPr>
          <w:rFonts w:cs="Times New Roman"/>
        </w:rPr>
        <w:t>FMD</w:t>
      </w:r>
      <w:r>
        <w:rPr>
          <w:rFonts w:cs="Times New Roman"/>
        </w:rPr>
        <w:t xml:space="preserve"> and </w:t>
      </w:r>
      <w:r w:rsidR="00AC3E71">
        <w:rPr>
          <w:rFonts w:cs="Times New Roman"/>
        </w:rPr>
        <w:t xml:space="preserve">the </w:t>
      </w:r>
      <w:r>
        <w:rPr>
          <w:rFonts w:cs="Times New Roman"/>
        </w:rPr>
        <w:t xml:space="preserve">BPNG have recognized the </w:t>
      </w:r>
      <w:r w:rsidR="00E06071">
        <w:rPr>
          <w:rFonts w:cs="Times New Roman"/>
        </w:rPr>
        <w:t>need</w:t>
      </w:r>
      <w:r w:rsidR="004D60F5">
        <w:rPr>
          <w:rFonts w:cs="Times New Roman"/>
        </w:rPr>
        <w:t xml:space="preserve"> </w:t>
      </w:r>
      <w:r w:rsidR="00E06071">
        <w:rPr>
          <w:rFonts w:cs="Times New Roman"/>
        </w:rPr>
        <w:t>to diversify the investor based to retail, small and medium enterprises</w:t>
      </w:r>
      <w:r w:rsidR="00A65D6F">
        <w:rPr>
          <w:rFonts w:cs="Times New Roman"/>
        </w:rPr>
        <w:t xml:space="preserve"> (SMEs)</w:t>
      </w:r>
      <w:r w:rsidR="00E06071">
        <w:rPr>
          <w:rFonts w:cs="Times New Roman"/>
        </w:rPr>
        <w:t>, and no</w:t>
      </w:r>
      <w:r w:rsidR="002632DE">
        <w:rPr>
          <w:rFonts w:cs="Times New Roman"/>
        </w:rPr>
        <w:t>n</w:t>
      </w:r>
      <w:r w:rsidR="00E06071">
        <w:rPr>
          <w:rFonts w:cs="Times New Roman"/>
        </w:rPr>
        <w:t>-resident investors</w:t>
      </w:r>
      <w:r w:rsidR="00AC3E71">
        <w:rPr>
          <w:rFonts w:cs="Times New Roman"/>
        </w:rPr>
        <w:t>, whilst recognizing that this diversification it will take time to achieve</w:t>
      </w:r>
      <w:r w:rsidR="00E06071">
        <w:rPr>
          <w:rFonts w:cs="Times New Roman"/>
        </w:rPr>
        <w:t>.</w:t>
      </w:r>
    </w:p>
    <w:p w14:paraId="1D90551F" w14:textId="26475B5E" w:rsidR="00E806E4" w:rsidRPr="00161D47" w:rsidRDefault="002632DE" w:rsidP="00CB0CC1">
      <w:pPr>
        <w:pStyle w:val="ListParagraph"/>
        <w:widowControl w:val="0"/>
        <w:numPr>
          <w:ilvl w:val="0"/>
          <w:numId w:val="2"/>
        </w:numPr>
        <w:spacing w:after="240"/>
        <w:ind w:left="0" w:firstLine="0"/>
        <w:contextualSpacing w:val="0"/>
        <w:jc w:val="both"/>
        <w:rPr>
          <w:rFonts w:cs="Times New Roman"/>
        </w:rPr>
      </w:pPr>
      <w:r w:rsidRPr="00D80090">
        <w:t xml:space="preserve">A consistent </w:t>
      </w:r>
      <w:r w:rsidR="00AC3E71">
        <w:t xml:space="preserve">area of concern raised by </w:t>
      </w:r>
      <w:r w:rsidRPr="00D80090">
        <w:t>the investment community was the lack of a secondary bond market structure and liquidity for government securities. Developing a secondary bond market and liquidity is a considerable challenge for all emerging markets.</w:t>
      </w:r>
      <w:r>
        <w:t xml:space="preserve"> The BPNG has drafted the Master Repurchase Agreement (MRA</w:t>
      </w:r>
      <w:r w:rsidR="004D60F5">
        <w:t>), which</w:t>
      </w:r>
      <w:r>
        <w:t xml:space="preserve"> is cur</w:t>
      </w:r>
      <w:r w:rsidR="00B0274A">
        <w:t>rently under</w:t>
      </w:r>
      <w:r w:rsidR="00CD02E7">
        <w:t xml:space="preserve"> BPNG internal</w:t>
      </w:r>
      <w:r w:rsidR="00B0274A">
        <w:t xml:space="preserve"> legal review. M</w:t>
      </w:r>
      <w:r>
        <w:t xml:space="preserve">arket participants have been consulted and provided </w:t>
      </w:r>
      <w:r w:rsidR="00AC3E71">
        <w:t xml:space="preserve">the </w:t>
      </w:r>
      <w:r>
        <w:t>BPNG with feedback and all but one commercial bank consented with the draf</w:t>
      </w:r>
      <w:r w:rsidR="00B0274A">
        <w:t xml:space="preserve">t MRA. This is a </w:t>
      </w:r>
      <w:r>
        <w:t xml:space="preserve">positive step in bond market development </w:t>
      </w:r>
      <w:r w:rsidR="00AC3E71">
        <w:t>in that it will</w:t>
      </w:r>
      <w:r w:rsidR="004D60F5">
        <w:t xml:space="preserve"> </w:t>
      </w:r>
      <w:r>
        <w:t>by providing market participants and the central bank with liquidity management tools.</w:t>
      </w:r>
    </w:p>
    <w:p w14:paraId="6D83C1FB" w14:textId="77777777" w:rsidR="00161D47" w:rsidRPr="002632DE" w:rsidRDefault="00161D47" w:rsidP="00161D47">
      <w:pPr>
        <w:pStyle w:val="ListParagraph"/>
        <w:widowControl w:val="0"/>
        <w:spacing w:after="240"/>
        <w:ind w:left="0"/>
        <w:contextualSpacing w:val="0"/>
        <w:jc w:val="both"/>
        <w:rPr>
          <w:rFonts w:cs="Times New Roman"/>
        </w:rPr>
      </w:pPr>
    </w:p>
    <w:p w14:paraId="451E51B7" w14:textId="77777777" w:rsidR="002632DE" w:rsidRPr="009A775E" w:rsidRDefault="00AB1615" w:rsidP="002632DE">
      <w:pPr>
        <w:widowControl w:val="0"/>
        <w:spacing w:after="240"/>
        <w:jc w:val="both"/>
        <w:rPr>
          <w:rFonts w:cs="Times New Roman"/>
          <w:i/>
          <w:u w:val="single"/>
        </w:rPr>
      </w:pPr>
      <w:r w:rsidRPr="009A775E">
        <w:rPr>
          <w:rFonts w:cs="Times New Roman"/>
          <w:i/>
          <w:u w:val="single"/>
        </w:rPr>
        <w:lastRenderedPageBreak/>
        <w:t>Key</w:t>
      </w:r>
      <w:r w:rsidR="006A34CF">
        <w:rPr>
          <w:rFonts w:cs="Times New Roman"/>
          <w:i/>
          <w:u w:val="single"/>
        </w:rPr>
        <w:t xml:space="preserve"> Reform</w:t>
      </w:r>
      <w:r w:rsidRPr="009A775E">
        <w:rPr>
          <w:rFonts w:cs="Times New Roman"/>
          <w:i/>
          <w:u w:val="single"/>
        </w:rPr>
        <w:t xml:space="preserve"> Recommendations &amp; </w:t>
      </w:r>
      <w:r w:rsidR="00B0274A" w:rsidRPr="009A775E">
        <w:rPr>
          <w:rFonts w:cs="Times New Roman"/>
          <w:i/>
          <w:u w:val="single"/>
        </w:rPr>
        <w:t>Commitments-</w:t>
      </w:r>
    </w:p>
    <w:p w14:paraId="3731AFF3" w14:textId="77777777" w:rsidR="004F6C4D" w:rsidRDefault="002632DE" w:rsidP="004F6C4D">
      <w:pPr>
        <w:pStyle w:val="ListParagraph"/>
        <w:widowControl w:val="0"/>
        <w:numPr>
          <w:ilvl w:val="0"/>
          <w:numId w:val="29"/>
        </w:numPr>
        <w:spacing w:after="240"/>
        <w:ind w:left="0" w:firstLine="0"/>
        <w:contextualSpacing w:val="0"/>
        <w:jc w:val="both"/>
      </w:pPr>
      <w:r>
        <w:t>Selected k</w:t>
      </w:r>
      <w:r w:rsidR="004F6C4D" w:rsidRPr="00D80090">
        <w:t xml:space="preserve">ey </w:t>
      </w:r>
      <w:r w:rsidR="006A34CF">
        <w:t xml:space="preserve">reform </w:t>
      </w:r>
      <w:r w:rsidR="004F6C4D" w:rsidRPr="00D80090">
        <w:t>recommendations</w:t>
      </w:r>
      <w:r w:rsidR="00AE0462">
        <w:t xml:space="preserve"> and </w:t>
      </w:r>
      <w:r w:rsidR="008F7368">
        <w:t xml:space="preserve">suggested </w:t>
      </w:r>
      <w:r w:rsidR="00AE0462">
        <w:t>commitments by the enabling</w:t>
      </w:r>
      <w:r w:rsidR="008F7368">
        <w:t xml:space="preserve"> agency (s) are summarized below and further</w:t>
      </w:r>
      <w:r w:rsidR="004F6C4D" w:rsidRPr="00D80090">
        <w:t xml:space="preserve"> </w:t>
      </w:r>
      <w:r>
        <w:t xml:space="preserve">recommendations and </w:t>
      </w:r>
      <w:r w:rsidR="004F6C4D" w:rsidRPr="00D80090">
        <w:t xml:space="preserve">detailed suggestions are </w:t>
      </w:r>
      <w:r w:rsidR="00933610">
        <w:t>provided</w:t>
      </w:r>
      <w:r w:rsidR="00AC3E71">
        <w:t xml:space="preserve"> </w:t>
      </w:r>
      <w:r w:rsidR="004F6C4D" w:rsidRPr="00D80090">
        <w:t>within the content of each app</w:t>
      </w:r>
      <w:r w:rsidR="004F6C4D">
        <w:t>ropriate section of this</w:t>
      </w:r>
      <w:r w:rsidR="00B11C4E">
        <w:t xml:space="preserve"> report </w:t>
      </w:r>
      <w:r w:rsidR="00AC3E71">
        <w:t>together with</w:t>
      </w:r>
      <w:r w:rsidR="00B11C4E">
        <w:t xml:space="preserve"> a </w:t>
      </w:r>
      <w:r w:rsidR="00B0274A">
        <w:t xml:space="preserve">summary </w:t>
      </w:r>
      <w:r w:rsidR="00AC3E71">
        <w:t>and</w:t>
      </w:r>
      <w:r w:rsidR="00B0274A">
        <w:t xml:space="preserve"> </w:t>
      </w:r>
      <w:r>
        <w:t xml:space="preserve">action plan </w:t>
      </w:r>
      <w:r w:rsidR="004F6C4D">
        <w:t>of the recommendations</w:t>
      </w:r>
      <w:r w:rsidR="008F7368">
        <w:t xml:space="preserve"> and commitments in A</w:t>
      </w:r>
      <w:r w:rsidR="004D60F5">
        <w:t>nnex</w:t>
      </w:r>
      <w:r w:rsidR="008F7368">
        <w:t xml:space="preserve">: </w:t>
      </w:r>
      <w:r w:rsidR="004D60F5">
        <w:t>1</w:t>
      </w:r>
      <w:r w:rsidR="007F37CA">
        <w:t>.</w:t>
      </w:r>
    </w:p>
    <w:p w14:paraId="0837C849" w14:textId="77777777" w:rsidR="002F7A2F" w:rsidRPr="009A775E" w:rsidRDefault="003F57B7" w:rsidP="002F7A2F">
      <w:pPr>
        <w:widowControl w:val="0"/>
        <w:spacing w:after="240"/>
        <w:jc w:val="both"/>
        <w:rPr>
          <w:i/>
          <w:u w:val="single"/>
        </w:rPr>
      </w:pPr>
      <w:r>
        <w:rPr>
          <w:i/>
          <w:u w:val="single"/>
        </w:rPr>
        <w:t>1.</w:t>
      </w:r>
      <w:r w:rsidR="002F7A2F" w:rsidRPr="009A775E">
        <w:rPr>
          <w:i/>
          <w:u w:val="single"/>
        </w:rPr>
        <w:t>Legal &amp; Regulatory-</w:t>
      </w:r>
    </w:p>
    <w:p w14:paraId="7DFBF68D" w14:textId="17EA5BCB" w:rsidR="00400607" w:rsidRPr="00400607" w:rsidRDefault="00400607" w:rsidP="00400607">
      <w:pPr>
        <w:pStyle w:val="ListParagraph"/>
        <w:widowControl w:val="0"/>
        <w:numPr>
          <w:ilvl w:val="0"/>
          <w:numId w:val="29"/>
        </w:numPr>
        <w:spacing w:after="240"/>
        <w:ind w:left="0" w:firstLine="0"/>
        <w:contextualSpacing w:val="0"/>
        <w:jc w:val="both"/>
        <w:rPr>
          <w:rFonts w:cs="Times New Roman"/>
          <w:i/>
        </w:rPr>
      </w:pPr>
      <w:r>
        <w:rPr>
          <w:rFonts w:cs="Times New Roman"/>
        </w:rPr>
        <w:t xml:space="preserve">That </w:t>
      </w:r>
      <w:r w:rsidRPr="00083E32">
        <w:rPr>
          <w:rFonts w:cs="Times New Roman"/>
        </w:rPr>
        <w:t>Treasury and FMD</w:t>
      </w:r>
      <w:r>
        <w:rPr>
          <w:rFonts w:cs="Times New Roman"/>
        </w:rPr>
        <w:t xml:space="preserve"> should review and potentially amend Loans Securities Act 1960 and T-Bills Act 1974, as well as any relevant Memorandums of Understanding (MOUs) to ensure the acts and MOUs are consistent with the current public debt management policies, objectives, and activities. </w:t>
      </w:r>
    </w:p>
    <w:p w14:paraId="4E69B314" w14:textId="77777777" w:rsidR="006A34CF" w:rsidRPr="006A34CF" w:rsidRDefault="00572429" w:rsidP="002F7A2F">
      <w:pPr>
        <w:pStyle w:val="ListParagraph"/>
        <w:widowControl w:val="0"/>
        <w:numPr>
          <w:ilvl w:val="0"/>
          <w:numId w:val="29"/>
        </w:numPr>
        <w:spacing w:after="240"/>
        <w:ind w:left="0" w:firstLine="0"/>
        <w:contextualSpacing w:val="0"/>
        <w:jc w:val="both"/>
        <w:rPr>
          <w:rFonts w:cs="Times New Roman"/>
          <w:i/>
        </w:rPr>
      </w:pPr>
      <w:r>
        <w:rPr>
          <w:rFonts w:cs="Times New Roman"/>
        </w:rPr>
        <w:t xml:space="preserve">That </w:t>
      </w:r>
      <w:r w:rsidR="002F7A2F">
        <w:rPr>
          <w:rFonts w:cs="Times New Roman"/>
        </w:rPr>
        <w:t xml:space="preserve">BPNG establish a code of conduct, market convention, and reporting requirements for market participants transacting in the primary and secondary market for government securities, central bank bills, and repurchase agreements. </w:t>
      </w:r>
    </w:p>
    <w:p w14:paraId="4807D70A" w14:textId="112576E9" w:rsidR="002F7A2F" w:rsidRPr="002F7A2F" w:rsidRDefault="00572429" w:rsidP="002F7A2F">
      <w:pPr>
        <w:pStyle w:val="ListParagraph"/>
        <w:widowControl w:val="0"/>
        <w:numPr>
          <w:ilvl w:val="0"/>
          <w:numId w:val="29"/>
        </w:numPr>
        <w:spacing w:after="240"/>
        <w:ind w:left="0" w:firstLine="0"/>
        <w:contextualSpacing w:val="0"/>
        <w:jc w:val="both"/>
        <w:rPr>
          <w:rFonts w:cs="Times New Roman"/>
          <w:i/>
        </w:rPr>
      </w:pPr>
      <w:r>
        <w:rPr>
          <w:rFonts w:cs="Times New Roman"/>
        </w:rPr>
        <w:t xml:space="preserve">That a review be undertaken to of the </w:t>
      </w:r>
      <w:r w:rsidR="002F7A2F" w:rsidRPr="002F7A2F">
        <w:rPr>
          <w:rFonts w:cs="Times New Roman"/>
        </w:rPr>
        <w:t xml:space="preserve">supervision of the government securities market carried out by the BPNG, </w:t>
      </w:r>
      <w:r>
        <w:rPr>
          <w:rFonts w:cs="Times New Roman"/>
        </w:rPr>
        <w:t xml:space="preserve">to ensure that there is effective supervision and that </w:t>
      </w:r>
      <w:r w:rsidR="002F7A2F" w:rsidRPr="002F7A2F">
        <w:rPr>
          <w:rFonts w:cs="Times New Roman"/>
        </w:rPr>
        <w:t xml:space="preserve">all market participants </w:t>
      </w:r>
      <w:r w:rsidR="00B0274A">
        <w:rPr>
          <w:rFonts w:cs="Times New Roman"/>
        </w:rPr>
        <w:t xml:space="preserve">are </w:t>
      </w:r>
      <w:r w:rsidR="002F7A2F" w:rsidRPr="002F7A2F">
        <w:rPr>
          <w:rFonts w:cs="Times New Roman"/>
        </w:rPr>
        <w:t>subject to the same standards and conventions.</w:t>
      </w:r>
    </w:p>
    <w:p w14:paraId="6FD16D20" w14:textId="77777777" w:rsidR="002F7A2F" w:rsidRPr="009A775E" w:rsidRDefault="003F57B7" w:rsidP="002F7A2F">
      <w:pPr>
        <w:pStyle w:val="ListParagraph"/>
        <w:widowControl w:val="0"/>
        <w:spacing w:after="240"/>
        <w:ind w:left="0"/>
        <w:contextualSpacing w:val="0"/>
        <w:jc w:val="both"/>
        <w:rPr>
          <w:rFonts w:cs="Times New Roman"/>
          <w:i/>
          <w:u w:val="single"/>
        </w:rPr>
      </w:pPr>
      <w:r>
        <w:rPr>
          <w:rFonts w:cs="Times New Roman"/>
          <w:i/>
          <w:u w:val="single"/>
        </w:rPr>
        <w:t>2</w:t>
      </w:r>
      <w:r w:rsidR="008B2C3D">
        <w:rPr>
          <w:rFonts w:cs="Times New Roman"/>
          <w:i/>
          <w:u w:val="single"/>
        </w:rPr>
        <w:t xml:space="preserve">. </w:t>
      </w:r>
      <w:r w:rsidR="002F7A2F" w:rsidRPr="009A775E">
        <w:rPr>
          <w:rFonts w:cs="Times New Roman"/>
          <w:i/>
          <w:u w:val="single"/>
        </w:rPr>
        <w:t>Public Deb</w:t>
      </w:r>
      <w:r w:rsidR="006A34CF">
        <w:rPr>
          <w:rFonts w:cs="Times New Roman"/>
          <w:i/>
          <w:u w:val="single"/>
        </w:rPr>
        <w:t>t Management Strategy</w:t>
      </w:r>
      <w:r w:rsidR="002F7A2F" w:rsidRPr="009A775E">
        <w:rPr>
          <w:rFonts w:cs="Times New Roman"/>
          <w:i/>
          <w:u w:val="single"/>
        </w:rPr>
        <w:t>-</w:t>
      </w:r>
    </w:p>
    <w:p w14:paraId="5054644D" w14:textId="77777777" w:rsidR="004F6C4D" w:rsidRPr="006A34CF" w:rsidRDefault="00D72ED4" w:rsidP="004F6C4D">
      <w:pPr>
        <w:pStyle w:val="ListParagraph"/>
        <w:widowControl w:val="0"/>
        <w:numPr>
          <w:ilvl w:val="0"/>
          <w:numId w:val="29"/>
        </w:numPr>
        <w:spacing w:after="240"/>
        <w:ind w:left="0" w:firstLine="0"/>
        <w:contextualSpacing w:val="0"/>
        <w:jc w:val="both"/>
      </w:pPr>
      <w:r>
        <w:t xml:space="preserve">The government’s maturity profile of the </w:t>
      </w:r>
      <w:r w:rsidR="002F7A2F">
        <w:t>outstanding</w:t>
      </w:r>
      <w:r>
        <w:t xml:space="preserve"> stock of T-bills and GIS falling due within 12-months</w:t>
      </w:r>
      <w:r w:rsidRPr="00D72ED4">
        <w:t xml:space="preserve"> </w:t>
      </w:r>
      <w:r>
        <w:t xml:space="preserve">is highly concentrated. </w:t>
      </w:r>
      <w:r>
        <w:rPr>
          <w:rFonts w:cs="Times New Roman"/>
        </w:rPr>
        <w:t>T</w:t>
      </w:r>
      <w:r w:rsidR="002F7A2F">
        <w:t xml:space="preserve">he Treasury and FMD should </w:t>
      </w:r>
      <w:r w:rsidR="002F7A2F">
        <w:rPr>
          <w:rFonts w:cs="Times New Roman"/>
        </w:rPr>
        <w:t>d</w:t>
      </w:r>
      <w:r w:rsidR="002F7A2F" w:rsidRPr="000F1BD5">
        <w:rPr>
          <w:rFonts w:cs="Times New Roman"/>
        </w:rPr>
        <w:t>evelop</w:t>
      </w:r>
      <w:r w:rsidR="002F7A2F">
        <w:rPr>
          <w:rFonts w:cs="Times New Roman"/>
        </w:rPr>
        <w:t xml:space="preserve"> and adopt </w:t>
      </w:r>
      <w:r w:rsidR="002F7A2F" w:rsidRPr="000F1BD5">
        <w:rPr>
          <w:rFonts w:cs="Times New Roman"/>
        </w:rPr>
        <w:t>a M</w:t>
      </w:r>
      <w:r>
        <w:rPr>
          <w:rFonts w:cs="Times New Roman"/>
        </w:rPr>
        <w:t>TDS</w:t>
      </w:r>
      <w:r w:rsidR="002F7A2F" w:rsidRPr="000F1BD5">
        <w:rPr>
          <w:rFonts w:cs="Times New Roman"/>
        </w:rPr>
        <w:t xml:space="preserve"> policy to </w:t>
      </w:r>
      <w:r w:rsidR="002F7A2F">
        <w:rPr>
          <w:rFonts w:cs="Times New Roman"/>
        </w:rPr>
        <w:t xml:space="preserve">proactively </w:t>
      </w:r>
      <w:r w:rsidR="002F7A2F" w:rsidRPr="000F1BD5">
        <w:rPr>
          <w:rFonts w:cs="Times New Roman"/>
        </w:rPr>
        <w:t>manage refinancing and liquidity risks</w:t>
      </w:r>
      <w:r>
        <w:rPr>
          <w:rFonts w:cs="Times New Roman"/>
        </w:rPr>
        <w:t xml:space="preserve"> in the government’s domestic p</w:t>
      </w:r>
      <w:r w:rsidR="006A34CF">
        <w:rPr>
          <w:rFonts w:cs="Times New Roman"/>
        </w:rPr>
        <w:t xml:space="preserve">ortfolio, such as buy backs, </w:t>
      </w:r>
      <w:r>
        <w:rPr>
          <w:rFonts w:cs="Times New Roman"/>
        </w:rPr>
        <w:t>switches</w:t>
      </w:r>
      <w:r w:rsidR="006A34CF">
        <w:rPr>
          <w:rFonts w:cs="Times New Roman"/>
        </w:rPr>
        <w:t>,</w:t>
      </w:r>
      <w:r w:rsidR="005D72CB">
        <w:rPr>
          <w:rFonts w:cs="Times New Roman"/>
        </w:rPr>
        <w:t xml:space="preserve"> and cash buffers in the government’s account</w:t>
      </w:r>
      <w:r>
        <w:rPr>
          <w:rFonts w:cs="Times New Roman"/>
        </w:rPr>
        <w:t xml:space="preserve">. </w:t>
      </w:r>
    </w:p>
    <w:p w14:paraId="5098CB98" w14:textId="77777777" w:rsidR="006A34CF" w:rsidRPr="006A34CF" w:rsidRDefault="006A34CF" w:rsidP="006A34CF">
      <w:pPr>
        <w:pStyle w:val="ListParagraph"/>
        <w:widowControl w:val="0"/>
        <w:numPr>
          <w:ilvl w:val="0"/>
          <w:numId w:val="29"/>
        </w:numPr>
        <w:spacing w:after="240"/>
        <w:ind w:left="0" w:firstLine="0"/>
        <w:contextualSpacing w:val="0"/>
        <w:jc w:val="both"/>
        <w:rPr>
          <w:i/>
        </w:rPr>
      </w:pPr>
      <w:r>
        <w:t>In the short-term</w:t>
      </w:r>
      <w:r w:rsidR="00572429">
        <w:t>,</w:t>
      </w:r>
      <w:r>
        <w:t xml:space="preserve"> </w:t>
      </w:r>
      <w:r w:rsidR="00572429">
        <w:t xml:space="preserve">action should be taken to </w:t>
      </w:r>
      <w:r>
        <w:t>r</w:t>
      </w:r>
      <w:r w:rsidRPr="00FA2277">
        <w:t>eweight the domestic debt</w:t>
      </w:r>
      <w:r>
        <w:t xml:space="preserve"> composition of 47% T-bills and 52% GIS in line with the 2015 annual borrowing plan’s objective of 39% to 61% T-bills to GIS. In the medium-term</w:t>
      </w:r>
      <w:r w:rsidR="00572429">
        <w:t>,</w:t>
      </w:r>
      <w:r>
        <w:t xml:space="preserve"> </w:t>
      </w:r>
      <w:r w:rsidR="00572429">
        <w:t xml:space="preserve">action should be taken to </w:t>
      </w:r>
      <w:r>
        <w:t>gradually reweight the composition in line 2013-2017 MTDS’s objective of 15% to 30%.</w:t>
      </w:r>
    </w:p>
    <w:p w14:paraId="10C75618" w14:textId="77777777" w:rsidR="006A34CF" w:rsidRPr="00D80090" w:rsidRDefault="006A34CF" w:rsidP="004D60F5">
      <w:pPr>
        <w:pStyle w:val="ListParagraph"/>
        <w:widowControl w:val="0"/>
        <w:numPr>
          <w:ilvl w:val="0"/>
          <w:numId w:val="29"/>
        </w:numPr>
        <w:spacing w:after="240"/>
        <w:ind w:left="0" w:firstLine="0"/>
        <w:contextualSpacing w:val="0"/>
        <w:jc w:val="both"/>
      </w:pPr>
      <w:r w:rsidRPr="006C7AEE">
        <w:t>Treasury</w:t>
      </w:r>
      <w:r>
        <w:t xml:space="preserve"> </w:t>
      </w:r>
      <w:r w:rsidR="00572429">
        <w:t>and</w:t>
      </w:r>
      <w:r>
        <w:t xml:space="preserve"> FMD </w:t>
      </w:r>
      <w:r w:rsidR="00572429">
        <w:t>should</w:t>
      </w:r>
      <w:r>
        <w:t xml:space="preserve"> prioritize the issuance of</w:t>
      </w:r>
      <w:r w:rsidRPr="006C7AEE">
        <w:t xml:space="preserve"> an</w:t>
      </w:r>
      <w:r w:rsidRPr="00131374">
        <w:t xml:space="preserve"> external bond</w:t>
      </w:r>
      <w:r>
        <w:t xml:space="preserve"> in the international capital markets as a potential new source of fund raising to meet the government’s financing needs and or project finance</w:t>
      </w:r>
      <w:r w:rsidR="00572429">
        <w:t xml:space="preserve"> and develop and implement an action plan on</w:t>
      </w:r>
      <w:r w:rsidR="00572429" w:rsidRPr="00572429">
        <w:t xml:space="preserve"> </w:t>
      </w:r>
      <w:r w:rsidR="00572429">
        <w:t xml:space="preserve">gaining interest in investing in PNG from the </w:t>
      </w:r>
      <w:r w:rsidR="00572429" w:rsidRPr="00572429">
        <w:t>international capital markets</w:t>
      </w:r>
      <w:r>
        <w:t>.</w:t>
      </w:r>
    </w:p>
    <w:p w14:paraId="4A3EA252" w14:textId="77777777" w:rsidR="004F6C4D" w:rsidRPr="009A775E" w:rsidRDefault="003F57B7" w:rsidP="009E0304">
      <w:pPr>
        <w:pStyle w:val="ListParagraph"/>
        <w:widowControl w:val="0"/>
        <w:spacing w:after="240"/>
        <w:ind w:left="0"/>
        <w:contextualSpacing w:val="0"/>
        <w:jc w:val="both"/>
        <w:rPr>
          <w:i/>
          <w:u w:val="single"/>
        </w:rPr>
      </w:pPr>
      <w:r>
        <w:rPr>
          <w:i/>
          <w:u w:val="single"/>
        </w:rPr>
        <w:t>3</w:t>
      </w:r>
      <w:r w:rsidR="008B2C3D">
        <w:rPr>
          <w:i/>
          <w:u w:val="single"/>
        </w:rPr>
        <w:t xml:space="preserve">. </w:t>
      </w:r>
      <w:r w:rsidR="002F7A2F" w:rsidRPr="009A775E">
        <w:rPr>
          <w:i/>
          <w:u w:val="single"/>
        </w:rPr>
        <w:t>Institutional Arrangements</w:t>
      </w:r>
      <w:r w:rsidR="00677679" w:rsidRPr="009A775E">
        <w:rPr>
          <w:i/>
          <w:u w:val="single"/>
        </w:rPr>
        <w:t xml:space="preserve"> &amp; Market Communication</w:t>
      </w:r>
      <w:r w:rsidR="002F7A2F" w:rsidRPr="009A775E">
        <w:rPr>
          <w:i/>
          <w:u w:val="single"/>
        </w:rPr>
        <w:t>-</w:t>
      </w:r>
    </w:p>
    <w:p w14:paraId="5FE60831" w14:textId="77777777" w:rsidR="002F7A2F" w:rsidRPr="002F7A2F" w:rsidRDefault="002F7A2F" w:rsidP="009E0304">
      <w:pPr>
        <w:pStyle w:val="ListParagraph"/>
        <w:widowControl w:val="0"/>
        <w:numPr>
          <w:ilvl w:val="0"/>
          <w:numId w:val="2"/>
        </w:numPr>
        <w:spacing w:after="240"/>
        <w:ind w:left="0" w:firstLine="0"/>
        <w:contextualSpacing w:val="0"/>
        <w:jc w:val="both"/>
        <w:rPr>
          <w:rFonts w:cs="Times New Roman"/>
          <w:b/>
        </w:rPr>
      </w:pPr>
      <w:r>
        <w:rPr>
          <w:rFonts w:cs="Times New Roman"/>
        </w:rPr>
        <w:t xml:space="preserve">Treasury and </w:t>
      </w:r>
      <w:r w:rsidR="000E6B8D">
        <w:rPr>
          <w:rFonts w:cs="Times New Roman"/>
        </w:rPr>
        <w:t>the FMD</w:t>
      </w:r>
      <w:r>
        <w:rPr>
          <w:rFonts w:cs="Times New Roman"/>
        </w:rPr>
        <w:t xml:space="preserve"> </w:t>
      </w:r>
      <w:r w:rsidR="000E6B8D">
        <w:rPr>
          <w:rFonts w:cs="Times New Roman"/>
        </w:rPr>
        <w:t xml:space="preserve">should </w:t>
      </w:r>
      <w:r>
        <w:rPr>
          <w:rFonts w:cs="Times New Roman"/>
        </w:rPr>
        <w:t xml:space="preserve">initiate </w:t>
      </w:r>
      <w:r w:rsidR="000E6B8D">
        <w:rPr>
          <w:rFonts w:cs="Times New Roman"/>
        </w:rPr>
        <w:t xml:space="preserve">and maintain regular </w:t>
      </w:r>
      <w:r>
        <w:rPr>
          <w:rFonts w:cs="Times New Roman"/>
        </w:rPr>
        <w:t>market dialogue with market participants relating to the government</w:t>
      </w:r>
      <w:r w:rsidR="00B0274A">
        <w:rPr>
          <w:rFonts w:cs="Times New Roman"/>
        </w:rPr>
        <w:t>’</w:t>
      </w:r>
      <w:r>
        <w:rPr>
          <w:rFonts w:cs="Times New Roman"/>
        </w:rPr>
        <w:t>s funding plans</w:t>
      </w:r>
      <w:r w:rsidR="00B0274A">
        <w:rPr>
          <w:rFonts w:cs="Times New Roman"/>
        </w:rPr>
        <w:t>, debt issuance strategies, and</w:t>
      </w:r>
      <w:r>
        <w:rPr>
          <w:rFonts w:cs="Times New Roman"/>
        </w:rPr>
        <w:t xml:space="preserve"> </w:t>
      </w:r>
      <w:r w:rsidR="00B0274A">
        <w:rPr>
          <w:rFonts w:cs="Times New Roman"/>
        </w:rPr>
        <w:t xml:space="preserve">domestic </w:t>
      </w:r>
      <w:r>
        <w:rPr>
          <w:rFonts w:cs="Times New Roman"/>
        </w:rPr>
        <w:t>bond market development endeavors.</w:t>
      </w:r>
      <w:r w:rsidR="00AA728E">
        <w:rPr>
          <w:rFonts w:cs="Times New Roman"/>
        </w:rPr>
        <w:t xml:space="preserve"> A suggested </w:t>
      </w:r>
      <w:r w:rsidR="006A34CF">
        <w:rPr>
          <w:rFonts w:cs="Times New Roman"/>
        </w:rPr>
        <w:t xml:space="preserve">complementary </w:t>
      </w:r>
      <w:r w:rsidR="00AA728E">
        <w:rPr>
          <w:rFonts w:cs="Times New Roman"/>
        </w:rPr>
        <w:t>mechanism is through a dealer advisory panel.</w:t>
      </w:r>
    </w:p>
    <w:p w14:paraId="16D528EE" w14:textId="77777777" w:rsidR="002F7A2F" w:rsidRDefault="002F7A2F" w:rsidP="002F7A2F">
      <w:pPr>
        <w:pStyle w:val="ListParagraph"/>
        <w:widowControl w:val="0"/>
        <w:numPr>
          <w:ilvl w:val="0"/>
          <w:numId w:val="2"/>
        </w:numPr>
        <w:spacing w:after="240"/>
        <w:ind w:left="0" w:firstLine="0"/>
        <w:contextualSpacing w:val="0"/>
        <w:jc w:val="both"/>
      </w:pPr>
      <w:r w:rsidRPr="007E15E0">
        <w:lastRenderedPageBreak/>
        <w:t>Treasury</w:t>
      </w:r>
      <w:r w:rsidRPr="00D80090">
        <w:t xml:space="preserve"> </w:t>
      </w:r>
      <w:r w:rsidR="000E6B8D">
        <w:t xml:space="preserve">and the </w:t>
      </w:r>
      <w:r>
        <w:t xml:space="preserve">BPNG </w:t>
      </w:r>
      <w:r w:rsidR="000E6B8D">
        <w:t>should</w:t>
      </w:r>
      <w:r w:rsidRPr="00D80090">
        <w:t xml:space="preserve"> establish</w:t>
      </w:r>
      <w:r>
        <w:t xml:space="preserve"> </w:t>
      </w:r>
      <w:r w:rsidRPr="00D80090">
        <w:t xml:space="preserve">a </w:t>
      </w:r>
      <w:r>
        <w:t xml:space="preserve">policy level </w:t>
      </w:r>
      <w:r w:rsidRPr="0060282D">
        <w:rPr>
          <w:i/>
        </w:rPr>
        <w:t xml:space="preserve">Domestic Bond Market Development Committee (DBMC).  </w:t>
      </w:r>
      <w:r w:rsidRPr="00D80090">
        <w:t xml:space="preserve">The committee would comprise a working group of agencies and departments involved in the overall objective of domestic bond </w:t>
      </w:r>
      <w:r>
        <w:t xml:space="preserve">and capital </w:t>
      </w:r>
      <w:r w:rsidRPr="00D80090">
        <w:t>market development.</w:t>
      </w:r>
      <w:r>
        <w:t xml:space="preserve"> The mandate of the DBMC</w:t>
      </w:r>
      <w:r w:rsidRPr="00D53DD7">
        <w:t xml:space="preserve"> would initially focus upon outlining, prioritizing</w:t>
      </w:r>
      <w:r>
        <w:t>,</w:t>
      </w:r>
      <w:r w:rsidRPr="00D53DD7">
        <w:t xml:space="preserve"> and advocating market development activities.</w:t>
      </w:r>
    </w:p>
    <w:p w14:paraId="0A8FDFDF" w14:textId="77777777" w:rsidR="006A34CF" w:rsidRDefault="006A34CF" w:rsidP="002F7A2F">
      <w:pPr>
        <w:pStyle w:val="ListParagraph"/>
        <w:widowControl w:val="0"/>
        <w:numPr>
          <w:ilvl w:val="0"/>
          <w:numId w:val="2"/>
        </w:numPr>
        <w:spacing w:after="240"/>
        <w:ind w:left="0" w:firstLine="0"/>
        <w:contextualSpacing w:val="0"/>
        <w:jc w:val="both"/>
      </w:pPr>
      <w:r>
        <w:t xml:space="preserve">The BPNG </w:t>
      </w:r>
      <w:r w:rsidR="000E6B8D">
        <w:t xml:space="preserve">should </w:t>
      </w:r>
      <w:r>
        <w:t>establish a centralized in-house agency/division function</w:t>
      </w:r>
      <w:r w:rsidRPr="00D80090">
        <w:t xml:space="preserve"> re</w:t>
      </w:r>
      <w:r>
        <w:t xml:space="preserve">sponsible for all </w:t>
      </w:r>
      <w:r w:rsidRPr="00D80090">
        <w:t>debt market information</w:t>
      </w:r>
      <w:r>
        <w:t xml:space="preserve"> and data, market conventions, and the dissemination and easy access to the information</w:t>
      </w:r>
      <w:r w:rsidR="000E6B8D">
        <w:t xml:space="preserve"> needed by the investment </w:t>
      </w:r>
      <w:r w:rsidR="004D60F5">
        <w:t>community</w:t>
      </w:r>
      <w:r w:rsidR="000E6B8D">
        <w:t>, both domestic and international</w:t>
      </w:r>
      <w:r>
        <w:t>.</w:t>
      </w:r>
    </w:p>
    <w:p w14:paraId="4C8C2456" w14:textId="77777777" w:rsidR="005D72CB" w:rsidRDefault="003F57B7" w:rsidP="005D72CB">
      <w:pPr>
        <w:pStyle w:val="ListParagraph"/>
        <w:widowControl w:val="0"/>
        <w:spacing w:after="240"/>
        <w:ind w:left="0"/>
        <w:contextualSpacing w:val="0"/>
        <w:jc w:val="both"/>
        <w:rPr>
          <w:i/>
          <w:u w:val="single"/>
        </w:rPr>
      </w:pPr>
      <w:r>
        <w:rPr>
          <w:i/>
          <w:u w:val="single"/>
        </w:rPr>
        <w:t>4</w:t>
      </w:r>
      <w:r w:rsidR="008B2C3D">
        <w:rPr>
          <w:i/>
          <w:u w:val="single"/>
        </w:rPr>
        <w:t xml:space="preserve">. </w:t>
      </w:r>
      <w:r w:rsidR="005D72CB" w:rsidRPr="005D72CB">
        <w:rPr>
          <w:i/>
          <w:u w:val="single"/>
        </w:rPr>
        <w:t>Money Market-</w:t>
      </w:r>
    </w:p>
    <w:p w14:paraId="375AC52B" w14:textId="77777777" w:rsidR="005D72CB" w:rsidRDefault="005D72CB" w:rsidP="005D72CB">
      <w:pPr>
        <w:pStyle w:val="ListParagraph"/>
        <w:widowControl w:val="0"/>
        <w:numPr>
          <w:ilvl w:val="0"/>
          <w:numId w:val="2"/>
        </w:numPr>
        <w:spacing w:after="240"/>
        <w:ind w:left="0" w:firstLine="0"/>
        <w:contextualSpacing w:val="0"/>
        <w:jc w:val="both"/>
        <w:rPr>
          <w:rFonts w:cs="Times New Roman"/>
        </w:rPr>
      </w:pPr>
      <w:r w:rsidRPr="00B03C11">
        <w:rPr>
          <w:rFonts w:cs="Times New Roman"/>
        </w:rPr>
        <w:t>The Master</w:t>
      </w:r>
      <w:r>
        <w:rPr>
          <w:rFonts w:cs="Times New Roman"/>
        </w:rPr>
        <w:t xml:space="preserve"> Repurchase Agreement</w:t>
      </w:r>
      <w:r w:rsidR="006A34CF">
        <w:rPr>
          <w:rFonts w:cs="Times New Roman"/>
        </w:rPr>
        <w:t xml:space="preserve"> (MRA)</w:t>
      </w:r>
      <w:r>
        <w:rPr>
          <w:rFonts w:cs="Times New Roman"/>
        </w:rPr>
        <w:t xml:space="preserve"> draft that is currently under legal review</w:t>
      </w:r>
      <w:r w:rsidR="000E6B8D">
        <w:rPr>
          <w:rFonts w:cs="Times New Roman"/>
        </w:rPr>
        <w:t xml:space="preserve"> should be reviewed to ensure that it enables the </w:t>
      </w:r>
      <w:r>
        <w:rPr>
          <w:rFonts w:cs="Times New Roman"/>
        </w:rPr>
        <w:t xml:space="preserve">BPNG </w:t>
      </w:r>
      <w:r w:rsidR="000E6B8D">
        <w:rPr>
          <w:rFonts w:cs="Times New Roman"/>
        </w:rPr>
        <w:t xml:space="preserve">to </w:t>
      </w:r>
      <w:r>
        <w:rPr>
          <w:rFonts w:cs="Times New Roman"/>
        </w:rPr>
        <w:t xml:space="preserve">promote the use of interbank repurchase transactions amongst banks and market participants. </w:t>
      </w:r>
    </w:p>
    <w:p w14:paraId="304AD8DD" w14:textId="77777777" w:rsidR="005D72CB" w:rsidRDefault="000E6B8D" w:rsidP="005D72CB">
      <w:pPr>
        <w:pStyle w:val="ListParagraph"/>
        <w:widowControl w:val="0"/>
        <w:numPr>
          <w:ilvl w:val="0"/>
          <w:numId w:val="2"/>
        </w:numPr>
        <w:spacing w:after="240"/>
        <w:ind w:left="0" w:firstLine="0"/>
        <w:contextualSpacing w:val="0"/>
        <w:jc w:val="both"/>
        <w:rPr>
          <w:rFonts w:cs="Times New Roman"/>
        </w:rPr>
      </w:pPr>
      <w:r>
        <w:rPr>
          <w:rFonts w:cs="Times New Roman"/>
        </w:rPr>
        <w:t xml:space="preserve">The </w:t>
      </w:r>
      <w:r w:rsidR="006A34CF">
        <w:rPr>
          <w:rFonts w:cs="Times New Roman"/>
        </w:rPr>
        <w:t xml:space="preserve">BPNG </w:t>
      </w:r>
      <w:r>
        <w:rPr>
          <w:rFonts w:cs="Times New Roman"/>
        </w:rPr>
        <w:t>should</w:t>
      </w:r>
      <w:r w:rsidR="005D72CB">
        <w:rPr>
          <w:rFonts w:cs="Times New Roman"/>
        </w:rPr>
        <w:t xml:space="preserve"> execute and promote the use of traditional </w:t>
      </w:r>
      <w:r w:rsidR="004D60F5">
        <w:rPr>
          <w:rFonts w:cs="Times New Roman"/>
        </w:rPr>
        <w:t xml:space="preserve">secured </w:t>
      </w:r>
      <w:r w:rsidR="005D72CB">
        <w:rPr>
          <w:rFonts w:cs="Times New Roman"/>
        </w:rPr>
        <w:t>repurchase transactions</w:t>
      </w:r>
      <w:r w:rsidR="004D60F5">
        <w:rPr>
          <w:rFonts w:cs="Times New Roman"/>
        </w:rPr>
        <w:t xml:space="preserve"> </w:t>
      </w:r>
      <w:r w:rsidR="005D72CB">
        <w:rPr>
          <w:rFonts w:cs="Times New Roman"/>
        </w:rPr>
        <w:t xml:space="preserve">through the MRA in conducting the Bank’s open market operations so </w:t>
      </w:r>
      <w:r>
        <w:rPr>
          <w:rFonts w:cs="Times New Roman"/>
        </w:rPr>
        <w:t xml:space="preserve">as </w:t>
      </w:r>
      <w:r w:rsidR="005D72CB">
        <w:rPr>
          <w:rFonts w:cs="Times New Roman"/>
        </w:rPr>
        <w:t>to mitigate the Bank’s credit risk exposure.</w:t>
      </w:r>
    </w:p>
    <w:p w14:paraId="426E72BF" w14:textId="77777777" w:rsidR="006A34CF" w:rsidRPr="006A34CF" w:rsidRDefault="006A34CF" w:rsidP="006A34CF">
      <w:pPr>
        <w:pStyle w:val="ListParagraph"/>
        <w:widowControl w:val="0"/>
        <w:numPr>
          <w:ilvl w:val="0"/>
          <w:numId w:val="2"/>
        </w:numPr>
        <w:spacing w:after="240"/>
        <w:ind w:left="0" w:firstLine="0"/>
        <w:contextualSpacing w:val="0"/>
        <w:jc w:val="both"/>
        <w:rPr>
          <w:rFonts w:cs="Times New Roman"/>
        </w:rPr>
      </w:pPr>
      <w:r>
        <w:rPr>
          <w:rFonts w:cs="Times New Roman"/>
        </w:rPr>
        <w:t xml:space="preserve">Interbank transactions should be disseminated </w:t>
      </w:r>
      <w:r w:rsidR="004D60F5">
        <w:rPr>
          <w:rFonts w:cs="Times New Roman"/>
        </w:rPr>
        <w:t xml:space="preserve">to the market place </w:t>
      </w:r>
      <w:r>
        <w:rPr>
          <w:rFonts w:cs="Times New Roman"/>
        </w:rPr>
        <w:t xml:space="preserve">by </w:t>
      </w:r>
      <w:r w:rsidR="004C5085">
        <w:rPr>
          <w:rFonts w:cs="Times New Roman"/>
        </w:rPr>
        <w:t xml:space="preserve">the </w:t>
      </w:r>
      <w:r>
        <w:rPr>
          <w:rFonts w:cs="Times New Roman"/>
        </w:rPr>
        <w:t>BPNG, in a practical time frame</w:t>
      </w:r>
      <w:r w:rsidRPr="00B03C11">
        <w:rPr>
          <w:rFonts w:cs="Times New Roman"/>
        </w:rPr>
        <w:t xml:space="preserve"> </w:t>
      </w:r>
      <w:r>
        <w:rPr>
          <w:rFonts w:cs="Times New Roman"/>
        </w:rPr>
        <w:t>given the volume, providing</w:t>
      </w:r>
      <w:r w:rsidRPr="00B03C11">
        <w:rPr>
          <w:rFonts w:cs="Times New Roman"/>
        </w:rPr>
        <w:t xml:space="preserve"> information for secured and unsecured</w:t>
      </w:r>
      <w:r>
        <w:rPr>
          <w:rFonts w:cs="Times New Roman"/>
        </w:rPr>
        <w:t xml:space="preserve"> interbank lending</w:t>
      </w:r>
      <w:r w:rsidRPr="00B03C11">
        <w:rPr>
          <w:rFonts w:cs="Times New Roman"/>
        </w:rPr>
        <w:t>.</w:t>
      </w:r>
    </w:p>
    <w:p w14:paraId="2234E8C6" w14:textId="77777777" w:rsidR="002F7A2F" w:rsidRPr="009A775E" w:rsidRDefault="003F57B7" w:rsidP="002F7A2F">
      <w:pPr>
        <w:widowControl w:val="0"/>
        <w:spacing w:after="240"/>
        <w:jc w:val="both"/>
        <w:rPr>
          <w:i/>
          <w:u w:val="single"/>
        </w:rPr>
      </w:pPr>
      <w:r>
        <w:rPr>
          <w:i/>
          <w:u w:val="single"/>
        </w:rPr>
        <w:t>5</w:t>
      </w:r>
      <w:r w:rsidR="008B2C3D">
        <w:rPr>
          <w:i/>
          <w:u w:val="single"/>
        </w:rPr>
        <w:t xml:space="preserve">. </w:t>
      </w:r>
      <w:r w:rsidR="002F7A2F" w:rsidRPr="009A775E">
        <w:rPr>
          <w:i/>
          <w:u w:val="single"/>
        </w:rPr>
        <w:t xml:space="preserve">Primary </w:t>
      </w:r>
      <w:r w:rsidR="00677679" w:rsidRPr="009A775E">
        <w:rPr>
          <w:i/>
          <w:u w:val="single"/>
        </w:rPr>
        <w:t>Market</w:t>
      </w:r>
      <w:r w:rsidR="002F7A2F" w:rsidRPr="009A775E">
        <w:rPr>
          <w:i/>
          <w:u w:val="single"/>
        </w:rPr>
        <w:t>-</w:t>
      </w:r>
    </w:p>
    <w:p w14:paraId="62D2B02C" w14:textId="77777777" w:rsidR="002F7A2F" w:rsidRDefault="004C5085" w:rsidP="002F7A2F">
      <w:pPr>
        <w:pStyle w:val="ListParagraph"/>
        <w:widowControl w:val="0"/>
        <w:numPr>
          <w:ilvl w:val="0"/>
          <w:numId w:val="2"/>
        </w:numPr>
        <w:spacing w:after="240"/>
        <w:ind w:left="0" w:firstLine="0"/>
        <w:contextualSpacing w:val="0"/>
        <w:jc w:val="both"/>
        <w:rPr>
          <w:rFonts w:cs="Times New Roman"/>
        </w:rPr>
      </w:pPr>
      <w:r>
        <w:rPr>
          <w:rFonts w:cs="Times New Roman"/>
        </w:rPr>
        <w:t>Treasury and t</w:t>
      </w:r>
      <w:r w:rsidR="00677679">
        <w:rPr>
          <w:rFonts w:cs="Times New Roman"/>
        </w:rPr>
        <w:t>he F</w:t>
      </w:r>
      <w:r>
        <w:rPr>
          <w:rFonts w:cs="Times New Roman"/>
        </w:rPr>
        <w:t>MD</w:t>
      </w:r>
      <w:r w:rsidR="006A34CF">
        <w:rPr>
          <w:rFonts w:cs="Times New Roman"/>
        </w:rPr>
        <w:t xml:space="preserve"> </w:t>
      </w:r>
      <w:r>
        <w:rPr>
          <w:rFonts w:cs="Times New Roman"/>
        </w:rPr>
        <w:t xml:space="preserve">should </w:t>
      </w:r>
      <w:r w:rsidR="00677679">
        <w:rPr>
          <w:rFonts w:cs="Times New Roman"/>
        </w:rPr>
        <w:t>r</w:t>
      </w:r>
      <w:r w:rsidR="002F7A2F">
        <w:rPr>
          <w:rFonts w:cs="Times New Roman"/>
        </w:rPr>
        <w:t xml:space="preserve">einitiate </w:t>
      </w:r>
      <w:r w:rsidR="00AA728E">
        <w:rPr>
          <w:rFonts w:cs="Times New Roman"/>
        </w:rPr>
        <w:t xml:space="preserve">the </w:t>
      </w:r>
      <w:r w:rsidR="002F7A2F">
        <w:rPr>
          <w:rFonts w:cs="Times New Roman"/>
        </w:rPr>
        <w:t>previous government funding and auction announcement practices of</w:t>
      </w:r>
      <w:r>
        <w:rPr>
          <w:rFonts w:cs="Times New Roman"/>
        </w:rPr>
        <w:t xml:space="preserve"> providing </w:t>
      </w:r>
      <w:r w:rsidR="004D60F5">
        <w:rPr>
          <w:rFonts w:cs="Times New Roman"/>
        </w:rPr>
        <w:t xml:space="preserve">the </w:t>
      </w:r>
      <w:r>
        <w:rPr>
          <w:rFonts w:cs="Times New Roman"/>
        </w:rPr>
        <w:t xml:space="preserve">market </w:t>
      </w:r>
      <w:r w:rsidR="004D60F5">
        <w:rPr>
          <w:rFonts w:cs="Times New Roman"/>
        </w:rPr>
        <w:t xml:space="preserve">participants </w:t>
      </w:r>
      <w:r>
        <w:rPr>
          <w:rFonts w:cs="Times New Roman"/>
        </w:rPr>
        <w:t>with</w:t>
      </w:r>
      <w:r w:rsidR="002F7A2F">
        <w:rPr>
          <w:rFonts w:cs="Times New Roman"/>
        </w:rPr>
        <w:t>: (</w:t>
      </w:r>
      <w:proofErr w:type="spellStart"/>
      <w:r w:rsidR="002F7A2F">
        <w:rPr>
          <w:rFonts w:cs="Times New Roman"/>
        </w:rPr>
        <w:t>i</w:t>
      </w:r>
      <w:proofErr w:type="spellEnd"/>
      <w:r w:rsidR="002F7A2F">
        <w:rPr>
          <w:rFonts w:cs="Times New Roman"/>
        </w:rPr>
        <w:t xml:space="preserve">) </w:t>
      </w:r>
      <w:r>
        <w:rPr>
          <w:rFonts w:cs="Times New Roman"/>
        </w:rPr>
        <w:t xml:space="preserve">the </w:t>
      </w:r>
      <w:r w:rsidR="002F7A2F">
        <w:rPr>
          <w:rFonts w:cs="Times New Roman"/>
        </w:rPr>
        <w:t xml:space="preserve">annual borrowing plan (currently done as in table 2); (ii) the GIS benchmark maturities to be targeted and issued </w:t>
      </w:r>
      <w:r w:rsidR="00677679">
        <w:rPr>
          <w:rFonts w:cs="Times New Roman"/>
        </w:rPr>
        <w:t>with</w:t>
      </w:r>
      <w:r w:rsidR="002F7A2F">
        <w:rPr>
          <w:rFonts w:cs="Times New Roman"/>
        </w:rPr>
        <w:t>in the calendar year; (iii</w:t>
      </w:r>
      <w:r w:rsidR="004D60F5">
        <w:rPr>
          <w:rFonts w:cs="Times New Roman"/>
        </w:rPr>
        <w:t>) provide</w:t>
      </w:r>
      <w:r w:rsidR="002F7A2F">
        <w:rPr>
          <w:rFonts w:cs="Times New Roman"/>
        </w:rPr>
        <w:t xml:space="preserve"> targeted benchmark maturities of T-bills; (iv) quarterly announcements and updates for inscribed stock issuance; (v) quarterly announcements and monthly updates for T-bills.</w:t>
      </w:r>
    </w:p>
    <w:p w14:paraId="47BD6352" w14:textId="77777777" w:rsidR="006A34CF" w:rsidRDefault="004C5085" w:rsidP="006A34CF">
      <w:pPr>
        <w:pStyle w:val="ListParagraph"/>
        <w:widowControl w:val="0"/>
        <w:numPr>
          <w:ilvl w:val="0"/>
          <w:numId w:val="2"/>
        </w:numPr>
        <w:spacing w:after="240"/>
        <w:ind w:left="0" w:firstLine="0"/>
        <w:contextualSpacing w:val="0"/>
        <w:jc w:val="both"/>
        <w:rPr>
          <w:rFonts w:cs="Times New Roman"/>
        </w:rPr>
      </w:pPr>
      <w:r>
        <w:rPr>
          <w:rFonts w:cs="Times New Roman"/>
        </w:rPr>
        <w:t xml:space="preserve">The </w:t>
      </w:r>
      <w:r w:rsidR="002F7A2F">
        <w:rPr>
          <w:rFonts w:cs="Times New Roman"/>
        </w:rPr>
        <w:t xml:space="preserve">BPNG and FDM </w:t>
      </w:r>
      <w:r>
        <w:rPr>
          <w:rFonts w:cs="Times New Roman"/>
        </w:rPr>
        <w:t xml:space="preserve">should </w:t>
      </w:r>
      <w:r w:rsidR="002F7A2F">
        <w:rPr>
          <w:rFonts w:cs="Times New Roman"/>
        </w:rPr>
        <w:t>ado</w:t>
      </w:r>
      <w:r w:rsidR="006A34CF">
        <w:rPr>
          <w:rFonts w:cs="Times New Roman"/>
        </w:rPr>
        <w:t>pt and implement the Bloomberg Automated Auction S</w:t>
      </w:r>
      <w:r w:rsidR="002F7A2F">
        <w:rPr>
          <w:rFonts w:cs="Times New Roman"/>
        </w:rPr>
        <w:t xml:space="preserve">ystem for the government securities and </w:t>
      </w:r>
      <w:r w:rsidR="00677679">
        <w:rPr>
          <w:rFonts w:cs="Times New Roman"/>
        </w:rPr>
        <w:t>central b</w:t>
      </w:r>
      <w:r w:rsidR="002F7A2F">
        <w:rPr>
          <w:rFonts w:cs="Times New Roman"/>
        </w:rPr>
        <w:t>ank bills primary market.</w:t>
      </w:r>
    </w:p>
    <w:p w14:paraId="47982ABD" w14:textId="77777777" w:rsidR="00333C51" w:rsidRPr="00333C51" w:rsidRDefault="00333C51" w:rsidP="006A34CF">
      <w:pPr>
        <w:pStyle w:val="ListParagraph"/>
        <w:widowControl w:val="0"/>
        <w:numPr>
          <w:ilvl w:val="0"/>
          <w:numId w:val="2"/>
        </w:numPr>
        <w:spacing w:after="240"/>
        <w:ind w:left="0" w:firstLine="0"/>
        <w:contextualSpacing w:val="0"/>
        <w:jc w:val="both"/>
        <w:rPr>
          <w:rFonts w:cs="Times New Roman"/>
        </w:rPr>
      </w:pPr>
      <w:r>
        <w:t xml:space="preserve">FMD </w:t>
      </w:r>
      <w:r w:rsidR="004C5085">
        <w:t>should develop and implement an action plan to</w:t>
      </w:r>
      <w:r>
        <w:t xml:space="preserve"> c</w:t>
      </w:r>
      <w:r w:rsidRPr="003D7712">
        <w:t>onsolidate the 23-benchmark</w:t>
      </w:r>
      <w:r>
        <w:t xml:space="preserve"> GIS</w:t>
      </w:r>
      <w:r w:rsidRPr="003D7712">
        <w:t xml:space="preserve"> lines</w:t>
      </w:r>
      <w:r>
        <w:t xml:space="preserve"> with due cognizance to </w:t>
      </w:r>
      <w:proofErr w:type="gramStart"/>
      <w:r>
        <w:t>roll-over</w:t>
      </w:r>
      <w:proofErr w:type="gramEnd"/>
      <w:r>
        <w:t xml:space="preserve"> risks</w:t>
      </w:r>
      <w:r w:rsidR="004C5085">
        <w:t xml:space="preserve"> over an acceptable timeframe</w:t>
      </w:r>
      <w:r>
        <w:t xml:space="preserve">. </w:t>
      </w:r>
      <w:r w:rsidR="004C5085">
        <w:t xml:space="preserve">FMD should ensure that the </w:t>
      </w:r>
      <w:r>
        <w:t xml:space="preserve">maturity profile and or to retire illiquid benchmark lines is </w:t>
      </w:r>
      <w:r w:rsidR="004C5085">
        <w:t xml:space="preserve">subject to on-going and regular review </w:t>
      </w:r>
      <w:r w:rsidR="00312204">
        <w:t>a</w:t>
      </w:r>
      <w:r w:rsidR="004C5085">
        <w:t xml:space="preserve">nd that action is taken to adjust </w:t>
      </w:r>
      <w:r>
        <w:t>by the use of buybacks and switches.</w:t>
      </w:r>
    </w:p>
    <w:p w14:paraId="33AC685B" w14:textId="77777777" w:rsidR="00333C51" w:rsidRPr="006A34CF" w:rsidRDefault="00333C51" w:rsidP="006A34CF">
      <w:pPr>
        <w:pStyle w:val="ListParagraph"/>
        <w:widowControl w:val="0"/>
        <w:numPr>
          <w:ilvl w:val="0"/>
          <w:numId w:val="2"/>
        </w:numPr>
        <w:spacing w:after="240"/>
        <w:ind w:left="0" w:firstLine="0"/>
        <w:contextualSpacing w:val="0"/>
        <w:jc w:val="both"/>
        <w:rPr>
          <w:rFonts w:cs="Times New Roman"/>
        </w:rPr>
      </w:pPr>
      <w:r>
        <w:rPr>
          <w:rFonts w:cs="Times New Roman"/>
        </w:rPr>
        <w:t xml:space="preserve">Treasury, FMD, and </w:t>
      </w:r>
      <w:r w:rsidR="004C5085">
        <w:rPr>
          <w:rFonts w:cs="Times New Roman"/>
        </w:rPr>
        <w:t xml:space="preserve">the </w:t>
      </w:r>
      <w:r>
        <w:rPr>
          <w:rFonts w:cs="Times New Roman"/>
        </w:rPr>
        <w:t xml:space="preserve">BPNG should give </w:t>
      </w:r>
      <w:r w:rsidR="004C5085">
        <w:rPr>
          <w:rFonts w:cs="Times New Roman"/>
        </w:rPr>
        <w:t xml:space="preserve">review and consider </w:t>
      </w:r>
      <w:r>
        <w:rPr>
          <w:rFonts w:cs="Times New Roman"/>
        </w:rPr>
        <w:t>the use of bond syndications for certain issuances practices such as issuance of long</w:t>
      </w:r>
      <w:r w:rsidR="005464FD">
        <w:rPr>
          <w:rFonts w:cs="Times New Roman"/>
        </w:rPr>
        <w:t>er</w:t>
      </w:r>
      <w:r>
        <w:rPr>
          <w:rFonts w:cs="Times New Roman"/>
        </w:rPr>
        <w:t xml:space="preserve"> dated GIS to satisfy </w:t>
      </w:r>
      <w:r w:rsidR="005464FD">
        <w:rPr>
          <w:rFonts w:cs="Times New Roman"/>
        </w:rPr>
        <w:t xml:space="preserve">institutional </w:t>
      </w:r>
      <w:r>
        <w:rPr>
          <w:rFonts w:cs="Times New Roman"/>
        </w:rPr>
        <w:t>investor demand</w:t>
      </w:r>
      <w:r w:rsidR="005464FD">
        <w:rPr>
          <w:rFonts w:cs="Times New Roman"/>
        </w:rPr>
        <w:t xml:space="preserve">s </w:t>
      </w:r>
      <w:r w:rsidR="004C5085">
        <w:rPr>
          <w:rFonts w:cs="Times New Roman"/>
        </w:rPr>
        <w:t xml:space="preserve">further </w:t>
      </w:r>
      <w:r>
        <w:rPr>
          <w:rFonts w:cs="Times New Roman"/>
        </w:rPr>
        <w:t xml:space="preserve">out the </w:t>
      </w:r>
      <w:r w:rsidR="00312204">
        <w:rPr>
          <w:rFonts w:cs="Times New Roman"/>
        </w:rPr>
        <w:t xml:space="preserve">government yield </w:t>
      </w:r>
      <w:r>
        <w:rPr>
          <w:rFonts w:cs="Times New Roman"/>
        </w:rPr>
        <w:t xml:space="preserve">curve as well </w:t>
      </w:r>
      <w:r w:rsidR="005464FD">
        <w:rPr>
          <w:rFonts w:cs="Times New Roman"/>
        </w:rPr>
        <w:t>as extending the average time to maturity of the government’s maturity profile. Syndications can be used when establishing long-term benchmarks and the unknown liquidity factor.</w:t>
      </w:r>
    </w:p>
    <w:p w14:paraId="782C40C6" w14:textId="77777777" w:rsidR="00333C51" w:rsidRPr="00333C51" w:rsidRDefault="00677679" w:rsidP="00333C51">
      <w:pPr>
        <w:pStyle w:val="ListParagraph"/>
        <w:widowControl w:val="0"/>
        <w:numPr>
          <w:ilvl w:val="0"/>
          <w:numId w:val="2"/>
        </w:numPr>
        <w:spacing w:after="240"/>
        <w:ind w:left="0" w:firstLine="0"/>
        <w:contextualSpacing w:val="0"/>
        <w:jc w:val="both"/>
        <w:rPr>
          <w:rFonts w:cs="Times New Roman"/>
        </w:rPr>
      </w:pPr>
      <w:r>
        <w:rPr>
          <w:rFonts w:cs="Times New Roman"/>
        </w:rPr>
        <w:lastRenderedPageBreak/>
        <w:t xml:space="preserve">Treasury, FMD, and </w:t>
      </w:r>
      <w:r w:rsidR="004C5085">
        <w:rPr>
          <w:rFonts w:cs="Times New Roman"/>
        </w:rPr>
        <w:t xml:space="preserve">the </w:t>
      </w:r>
      <w:r>
        <w:rPr>
          <w:rFonts w:cs="Times New Roman"/>
        </w:rPr>
        <w:t xml:space="preserve">BPNG </w:t>
      </w:r>
      <w:r w:rsidR="004C5085">
        <w:rPr>
          <w:rFonts w:cs="Times New Roman"/>
        </w:rPr>
        <w:t>should a</w:t>
      </w:r>
      <w:r w:rsidR="00333C51">
        <w:rPr>
          <w:rFonts w:cs="Times New Roman"/>
        </w:rPr>
        <w:t>llow and introduce</w:t>
      </w:r>
      <w:r w:rsidR="002F7A2F">
        <w:rPr>
          <w:rFonts w:cs="Times New Roman"/>
        </w:rPr>
        <w:t xml:space="preserve"> non-competitive bidding for retail, corporates, and small to medium sized entities. Promote the access to the primary market for small investors through m</w:t>
      </w:r>
      <w:r>
        <w:rPr>
          <w:rFonts w:cs="Times New Roman"/>
        </w:rPr>
        <w:t>arket intermediaries e.g. banks or brokers.</w:t>
      </w:r>
    </w:p>
    <w:p w14:paraId="54BDE457" w14:textId="77777777" w:rsidR="00EA2D3A" w:rsidRPr="009A775E" w:rsidRDefault="003F57B7" w:rsidP="00EA2D3A">
      <w:pPr>
        <w:widowControl w:val="0"/>
        <w:spacing w:after="240"/>
        <w:jc w:val="both"/>
        <w:rPr>
          <w:i/>
          <w:u w:val="single"/>
        </w:rPr>
      </w:pPr>
      <w:r>
        <w:rPr>
          <w:i/>
          <w:u w:val="single"/>
        </w:rPr>
        <w:t>6</w:t>
      </w:r>
      <w:r w:rsidR="008B2C3D">
        <w:rPr>
          <w:i/>
          <w:u w:val="single"/>
        </w:rPr>
        <w:t xml:space="preserve">. </w:t>
      </w:r>
      <w:r w:rsidR="00F36EA5" w:rsidRPr="009A775E">
        <w:rPr>
          <w:i/>
          <w:u w:val="single"/>
        </w:rPr>
        <w:t>Investor Base-</w:t>
      </w:r>
    </w:p>
    <w:p w14:paraId="13EDB38D" w14:textId="77777777" w:rsidR="00477F94" w:rsidRDefault="00677679" w:rsidP="00477F94">
      <w:pPr>
        <w:pStyle w:val="ListParagraph"/>
        <w:widowControl w:val="0"/>
        <w:numPr>
          <w:ilvl w:val="0"/>
          <w:numId w:val="2"/>
        </w:numPr>
        <w:spacing w:after="240"/>
        <w:ind w:left="0" w:firstLine="0"/>
        <w:contextualSpacing w:val="0"/>
        <w:jc w:val="both"/>
        <w:rPr>
          <w:i/>
        </w:rPr>
      </w:pPr>
      <w:r>
        <w:rPr>
          <w:rFonts w:cs="Times New Roman"/>
        </w:rPr>
        <w:t xml:space="preserve">Treasury, FMD, and </w:t>
      </w:r>
      <w:r w:rsidR="00933610">
        <w:rPr>
          <w:rFonts w:cs="Times New Roman"/>
        </w:rPr>
        <w:t xml:space="preserve">the </w:t>
      </w:r>
      <w:r>
        <w:rPr>
          <w:rFonts w:cs="Times New Roman"/>
        </w:rPr>
        <w:t xml:space="preserve">BPNG </w:t>
      </w:r>
      <w:r w:rsidR="00933610">
        <w:rPr>
          <w:rFonts w:cs="Times New Roman"/>
        </w:rPr>
        <w:t xml:space="preserve">should broaden the </w:t>
      </w:r>
      <w:r w:rsidR="00477F94">
        <w:rPr>
          <w:rFonts w:cs="Times New Roman"/>
        </w:rPr>
        <w:t xml:space="preserve">target </w:t>
      </w:r>
      <w:r w:rsidR="00933610">
        <w:rPr>
          <w:rFonts w:cs="Times New Roman"/>
        </w:rPr>
        <w:t xml:space="preserve">investor base </w:t>
      </w:r>
      <w:r w:rsidR="00477F94">
        <w:rPr>
          <w:rFonts w:cs="Times New Roman"/>
        </w:rPr>
        <w:t xml:space="preserve">to develop, promote, and provide access into the local market </w:t>
      </w:r>
      <w:r w:rsidR="00933610">
        <w:rPr>
          <w:rFonts w:cs="Times New Roman"/>
        </w:rPr>
        <w:t>to include</w:t>
      </w:r>
      <w:r w:rsidR="00312204">
        <w:rPr>
          <w:rFonts w:cs="Times New Roman"/>
        </w:rPr>
        <w:t xml:space="preserve">: </w:t>
      </w:r>
      <w:r w:rsidR="00477F94">
        <w:rPr>
          <w:rFonts w:cs="Times New Roman"/>
        </w:rPr>
        <w:t xml:space="preserve">retail customers, corporate entities, </w:t>
      </w:r>
      <w:r w:rsidR="006D652D">
        <w:rPr>
          <w:rFonts w:cs="Times New Roman"/>
        </w:rPr>
        <w:t xml:space="preserve">insurance companies, </w:t>
      </w:r>
      <w:r w:rsidR="00477F94">
        <w:rPr>
          <w:rFonts w:cs="Times New Roman"/>
        </w:rPr>
        <w:t>small and medium sized enterprises. Registered bidders such as banks and brokers should act as intermediaries and facilitate customers primary and secondary transactions.</w:t>
      </w:r>
    </w:p>
    <w:p w14:paraId="210DE8D0" w14:textId="77777777" w:rsidR="00477F94" w:rsidRDefault="00677679" w:rsidP="00EA2D3A">
      <w:pPr>
        <w:pStyle w:val="ListParagraph"/>
        <w:widowControl w:val="0"/>
        <w:numPr>
          <w:ilvl w:val="0"/>
          <w:numId w:val="2"/>
        </w:numPr>
        <w:spacing w:after="240"/>
        <w:ind w:left="0" w:firstLine="0"/>
        <w:contextualSpacing w:val="0"/>
        <w:jc w:val="both"/>
        <w:rPr>
          <w:rFonts w:cs="Times New Roman"/>
        </w:rPr>
      </w:pPr>
      <w:r>
        <w:rPr>
          <w:rFonts w:cs="Times New Roman"/>
        </w:rPr>
        <w:t xml:space="preserve">Treasury, FMD, and </w:t>
      </w:r>
      <w:r w:rsidR="00933610">
        <w:rPr>
          <w:rFonts w:cs="Times New Roman"/>
        </w:rPr>
        <w:t xml:space="preserve">the </w:t>
      </w:r>
      <w:r>
        <w:rPr>
          <w:rFonts w:cs="Times New Roman"/>
        </w:rPr>
        <w:t xml:space="preserve">BPNG </w:t>
      </w:r>
      <w:r w:rsidR="00933610">
        <w:rPr>
          <w:rFonts w:cs="Times New Roman"/>
        </w:rPr>
        <w:t xml:space="preserve">should </w:t>
      </w:r>
      <w:r>
        <w:rPr>
          <w:rFonts w:cs="Times New Roman"/>
        </w:rPr>
        <w:t>s</w:t>
      </w:r>
      <w:r w:rsidR="00477F94">
        <w:rPr>
          <w:rFonts w:cs="Times New Roman"/>
        </w:rPr>
        <w:t xml:space="preserve">eek to attract non-residents investors into the PNG government securities market by automating the primary market auction </w:t>
      </w:r>
      <w:r>
        <w:rPr>
          <w:rFonts w:cs="Times New Roman"/>
        </w:rPr>
        <w:t>system</w:t>
      </w:r>
      <w:r w:rsidR="00477F94">
        <w:rPr>
          <w:rFonts w:cs="Times New Roman"/>
        </w:rPr>
        <w:t xml:space="preserve">; </w:t>
      </w:r>
      <w:r>
        <w:rPr>
          <w:rFonts w:cs="Times New Roman"/>
        </w:rPr>
        <w:t xml:space="preserve">improve </w:t>
      </w:r>
      <w:r w:rsidR="00477F94">
        <w:rPr>
          <w:rFonts w:cs="Times New Roman"/>
        </w:rPr>
        <w:t>government p</w:t>
      </w:r>
      <w:r>
        <w:rPr>
          <w:rFonts w:cs="Times New Roman"/>
        </w:rPr>
        <w:t>ublic relations e.g. roadshows</w:t>
      </w:r>
      <w:r w:rsidR="005464FD">
        <w:rPr>
          <w:rFonts w:cs="Times New Roman"/>
        </w:rPr>
        <w:t xml:space="preserve"> &amp; presentations</w:t>
      </w:r>
      <w:r>
        <w:rPr>
          <w:rFonts w:cs="Times New Roman"/>
        </w:rPr>
        <w:t xml:space="preserve">; </w:t>
      </w:r>
      <w:r w:rsidR="00477F94">
        <w:rPr>
          <w:rFonts w:cs="Times New Roman"/>
        </w:rPr>
        <w:t>clearly disseminate information specifically addressing non-residents</w:t>
      </w:r>
      <w:r w:rsidR="005464FD">
        <w:rPr>
          <w:rFonts w:cs="Times New Roman"/>
        </w:rPr>
        <w:t xml:space="preserve"> questions and</w:t>
      </w:r>
      <w:r w:rsidR="00477F94">
        <w:rPr>
          <w:rFonts w:cs="Times New Roman"/>
        </w:rPr>
        <w:t xml:space="preserve"> investment criteria;</w:t>
      </w:r>
      <w:r>
        <w:rPr>
          <w:rFonts w:cs="Times New Roman"/>
        </w:rPr>
        <w:t xml:space="preserve"> and developing an</w:t>
      </w:r>
      <w:r w:rsidR="00477F94">
        <w:rPr>
          <w:rFonts w:cs="Times New Roman"/>
        </w:rPr>
        <w:t xml:space="preserve"> automat</w:t>
      </w:r>
      <w:r>
        <w:rPr>
          <w:rFonts w:cs="Times New Roman"/>
        </w:rPr>
        <w:t>ed clearing and settlement and C</w:t>
      </w:r>
      <w:r w:rsidR="00477F94">
        <w:rPr>
          <w:rFonts w:cs="Times New Roman"/>
        </w:rPr>
        <w:t xml:space="preserve">entral </w:t>
      </w:r>
      <w:r>
        <w:rPr>
          <w:rFonts w:cs="Times New Roman"/>
        </w:rPr>
        <w:t>Securities D</w:t>
      </w:r>
      <w:r w:rsidR="00477F94">
        <w:rPr>
          <w:rFonts w:cs="Times New Roman"/>
        </w:rPr>
        <w:t>epository</w:t>
      </w:r>
      <w:r>
        <w:rPr>
          <w:rFonts w:cs="Times New Roman"/>
        </w:rPr>
        <w:t xml:space="preserve"> (CSD)</w:t>
      </w:r>
      <w:r w:rsidR="00477F94">
        <w:rPr>
          <w:rFonts w:cs="Times New Roman"/>
        </w:rPr>
        <w:t>.</w:t>
      </w:r>
    </w:p>
    <w:p w14:paraId="2DA93D12" w14:textId="77777777" w:rsidR="005464FD" w:rsidRDefault="005464FD" w:rsidP="00EA2D3A">
      <w:pPr>
        <w:pStyle w:val="ListParagraph"/>
        <w:widowControl w:val="0"/>
        <w:numPr>
          <w:ilvl w:val="0"/>
          <w:numId w:val="2"/>
        </w:numPr>
        <w:spacing w:after="240"/>
        <w:ind w:left="0" w:firstLine="0"/>
        <w:contextualSpacing w:val="0"/>
        <w:jc w:val="both"/>
        <w:rPr>
          <w:rFonts w:cs="Times New Roman"/>
        </w:rPr>
      </w:pPr>
      <w:r>
        <w:rPr>
          <w:rFonts w:cs="Times New Roman"/>
        </w:rPr>
        <w:t xml:space="preserve">Treasury, FMD, and </w:t>
      </w:r>
      <w:r w:rsidR="00933610">
        <w:rPr>
          <w:rFonts w:cs="Times New Roman"/>
        </w:rPr>
        <w:t xml:space="preserve">the </w:t>
      </w:r>
      <w:r>
        <w:rPr>
          <w:rFonts w:cs="Times New Roman"/>
        </w:rPr>
        <w:t>BPNG should factor into domestic debt issuance planning the investor base habitat and the demands that exist along the yield curve spectrum from each different class of investors.</w:t>
      </w:r>
    </w:p>
    <w:p w14:paraId="50989648" w14:textId="77777777" w:rsidR="005464FD" w:rsidRPr="00477F94" w:rsidRDefault="005464FD" w:rsidP="00EA2D3A">
      <w:pPr>
        <w:pStyle w:val="ListParagraph"/>
        <w:widowControl w:val="0"/>
        <w:numPr>
          <w:ilvl w:val="0"/>
          <w:numId w:val="2"/>
        </w:numPr>
        <w:spacing w:after="240"/>
        <w:ind w:left="0" w:firstLine="0"/>
        <w:contextualSpacing w:val="0"/>
        <w:jc w:val="both"/>
        <w:rPr>
          <w:rFonts w:cs="Times New Roman"/>
        </w:rPr>
      </w:pPr>
      <w:r>
        <w:rPr>
          <w:rFonts w:cs="Times New Roman"/>
        </w:rPr>
        <w:t xml:space="preserve">Treasury, </w:t>
      </w:r>
      <w:r w:rsidR="00933610">
        <w:rPr>
          <w:rFonts w:cs="Times New Roman"/>
        </w:rPr>
        <w:t xml:space="preserve">the </w:t>
      </w:r>
      <w:r>
        <w:rPr>
          <w:rFonts w:cs="Times New Roman"/>
        </w:rPr>
        <w:t>BPNG, and the market regulator</w:t>
      </w:r>
      <w:r w:rsidR="00312204">
        <w:rPr>
          <w:rStyle w:val="FootnoteReference"/>
          <w:rFonts w:cs="Times New Roman"/>
        </w:rPr>
        <w:footnoteReference w:id="3"/>
      </w:r>
      <w:r>
        <w:rPr>
          <w:rFonts w:cs="Times New Roman"/>
        </w:rPr>
        <w:t xml:space="preserve"> should promote the creation and e</w:t>
      </w:r>
      <w:r w:rsidRPr="00720653">
        <w:rPr>
          <w:rFonts w:cs="Times New Roman"/>
        </w:rPr>
        <w:t>stablish</w:t>
      </w:r>
      <w:r>
        <w:rPr>
          <w:rFonts w:cs="Times New Roman"/>
        </w:rPr>
        <w:t>ment</w:t>
      </w:r>
      <w:r w:rsidRPr="00720653">
        <w:rPr>
          <w:rFonts w:cs="Times New Roman"/>
        </w:rPr>
        <w:t xml:space="preserve"> </w:t>
      </w:r>
      <w:r>
        <w:rPr>
          <w:rFonts w:cs="Times New Roman"/>
        </w:rPr>
        <w:t xml:space="preserve">of </w:t>
      </w:r>
      <w:r w:rsidRPr="00720653">
        <w:rPr>
          <w:rFonts w:cs="Times New Roman"/>
        </w:rPr>
        <w:t>pools</w:t>
      </w:r>
      <w:r>
        <w:rPr>
          <w:rFonts w:cs="Times New Roman"/>
        </w:rPr>
        <w:t xml:space="preserve"> of liquidity in the form of market funds to purchase domestic debt securities in the primary and secondary market and to </w:t>
      </w:r>
      <w:r w:rsidR="00AD0FF5">
        <w:rPr>
          <w:rFonts w:cs="Times New Roman"/>
        </w:rPr>
        <w:t>enable</w:t>
      </w:r>
      <w:r>
        <w:rPr>
          <w:rFonts w:cs="Times New Roman"/>
        </w:rPr>
        <w:t xml:space="preserve"> small investors to gain access to the domestic debt market through the managed funds.</w:t>
      </w:r>
    </w:p>
    <w:p w14:paraId="08CA3196" w14:textId="77777777" w:rsidR="00F36EA5" w:rsidRPr="009A775E" w:rsidRDefault="003F57B7" w:rsidP="00EA2D3A">
      <w:pPr>
        <w:widowControl w:val="0"/>
        <w:spacing w:after="240"/>
        <w:jc w:val="both"/>
        <w:rPr>
          <w:i/>
          <w:u w:val="single"/>
        </w:rPr>
      </w:pPr>
      <w:r>
        <w:rPr>
          <w:i/>
          <w:u w:val="single"/>
        </w:rPr>
        <w:t>7</w:t>
      </w:r>
      <w:r w:rsidR="008B2C3D">
        <w:rPr>
          <w:i/>
          <w:u w:val="single"/>
        </w:rPr>
        <w:t xml:space="preserve">. </w:t>
      </w:r>
      <w:r w:rsidR="00F36EA5" w:rsidRPr="009A775E">
        <w:rPr>
          <w:i/>
          <w:u w:val="single"/>
        </w:rPr>
        <w:t>Secondary Market-</w:t>
      </w:r>
    </w:p>
    <w:p w14:paraId="4FDCEA68" w14:textId="77777777" w:rsidR="00477F94" w:rsidRDefault="00477F94" w:rsidP="00F36EA5">
      <w:pPr>
        <w:pStyle w:val="ListParagraph"/>
        <w:widowControl w:val="0"/>
        <w:numPr>
          <w:ilvl w:val="0"/>
          <w:numId w:val="2"/>
        </w:numPr>
        <w:spacing w:after="240"/>
        <w:ind w:left="0" w:firstLine="0"/>
        <w:contextualSpacing w:val="0"/>
        <w:jc w:val="both"/>
      </w:pPr>
      <w:r>
        <w:t xml:space="preserve">Treasury and FMD </w:t>
      </w:r>
      <w:r w:rsidR="00AD0FF5">
        <w:t>should</w:t>
      </w:r>
      <w:r>
        <w:t xml:space="preserve"> p</w:t>
      </w:r>
      <w:r w:rsidRPr="00D80090">
        <w:t>rovide</w:t>
      </w:r>
      <w:r>
        <w:t xml:space="preserve"> the mark</w:t>
      </w:r>
      <w:r w:rsidR="00677679">
        <w:t xml:space="preserve">et, through dialogue with investors </w:t>
      </w:r>
      <w:r w:rsidR="008F7368">
        <w:t>and participants</w:t>
      </w:r>
      <w:r>
        <w:t xml:space="preserve">, </w:t>
      </w:r>
      <w:r w:rsidRPr="00D80090">
        <w:t>with adequately sized T-bill and Government Inscribed Stock benchmarks</w:t>
      </w:r>
      <w:r w:rsidR="00825DC5">
        <w:t>,</w:t>
      </w:r>
      <w:r w:rsidRPr="00D80090">
        <w:t xml:space="preserve"> which appropriately match the maturity interests of the institutional investor base and potential bank and private sector debt issuance.</w:t>
      </w:r>
    </w:p>
    <w:p w14:paraId="69198A58" w14:textId="77777777" w:rsidR="005464FD" w:rsidRDefault="005464FD" w:rsidP="00DE49D8">
      <w:pPr>
        <w:pStyle w:val="ListParagraph"/>
        <w:widowControl w:val="0"/>
        <w:numPr>
          <w:ilvl w:val="0"/>
          <w:numId w:val="2"/>
        </w:numPr>
        <w:spacing w:after="240"/>
        <w:ind w:left="0" w:firstLine="0"/>
        <w:contextualSpacing w:val="0"/>
        <w:jc w:val="both"/>
      </w:pPr>
      <w:r w:rsidRPr="00D80090">
        <w:t>The B</w:t>
      </w:r>
      <w:r w:rsidR="00AD0FF5">
        <w:t>PNG,</w:t>
      </w:r>
      <w:r w:rsidRPr="00D80090">
        <w:t xml:space="preserve"> in collaboration with Treasury</w:t>
      </w:r>
      <w:r w:rsidR="00AD0FF5">
        <w:t>,</w:t>
      </w:r>
      <w:r>
        <w:t xml:space="preserve"> </w:t>
      </w:r>
      <w:r w:rsidR="00AD0FF5">
        <w:t xml:space="preserve">should </w:t>
      </w:r>
      <w:r>
        <w:t xml:space="preserve">implement the drafted and approved, by all parties, </w:t>
      </w:r>
      <w:r w:rsidRPr="00D80090">
        <w:t>Master Repurchase Agreement</w:t>
      </w:r>
      <w:r>
        <w:t xml:space="preserve"> (MRA)</w:t>
      </w:r>
      <w:r w:rsidRPr="00D80090">
        <w:t>. To ensure marke</w:t>
      </w:r>
      <w:r>
        <w:t>t integrity, the MRA</w:t>
      </w:r>
      <w:r w:rsidR="00AD0FF5">
        <w:t>’s</w:t>
      </w:r>
      <w:r w:rsidRPr="00D80090">
        <w:t xml:space="preserve"> </w:t>
      </w:r>
      <w:r>
        <w:t xml:space="preserve">terms and conditions </w:t>
      </w:r>
      <w:r w:rsidR="00DE49D8" w:rsidRPr="00D80090">
        <w:t>set</w:t>
      </w:r>
      <w:r w:rsidRPr="00D80090">
        <w:t xml:space="preserve"> out </w:t>
      </w:r>
      <w:r w:rsidR="00AD0FF5">
        <w:t xml:space="preserve">prudential </w:t>
      </w:r>
      <w:r w:rsidRPr="00D80090">
        <w:t xml:space="preserve">standards for margining, accounting, and </w:t>
      </w:r>
      <w:r w:rsidR="00AD0FF5">
        <w:t xml:space="preserve">other </w:t>
      </w:r>
      <w:r w:rsidRPr="00D80090">
        <w:t xml:space="preserve">relevant </w:t>
      </w:r>
      <w:r w:rsidR="00AD0FF5">
        <w:t xml:space="preserve">prudential </w:t>
      </w:r>
      <w:r w:rsidRPr="00D80090">
        <w:t>requirements.</w:t>
      </w:r>
    </w:p>
    <w:p w14:paraId="13DD47C2" w14:textId="77777777" w:rsidR="00DE49D8" w:rsidRDefault="00AD0FF5" w:rsidP="00DE49D8">
      <w:pPr>
        <w:pStyle w:val="ListParagraph"/>
        <w:widowControl w:val="0"/>
        <w:numPr>
          <w:ilvl w:val="0"/>
          <w:numId w:val="2"/>
        </w:numPr>
        <w:spacing w:after="240"/>
        <w:ind w:left="0" w:firstLine="0"/>
        <w:contextualSpacing w:val="0"/>
        <w:jc w:val="both"/>
      </w:pPr>
      <w:r>
        <w:t>The BPNG should develop and implement r</w:t>
      </w:r>
      <w:r w:rsidR="00DE49D8">
        <w:t>epurchase agreement</w:t>
      </w:r>
      <w:r w:rsidR="00DE49D8" w:rsidRPr="00D80090">
        <w:t xml:space="preserve"> procedures, standards, and code of conduct must be set out by BPNG for all market participants to </w:t>
      </w:r>
      <w:r>
        <w:t xml:space="preserve">ensure </w:t>
      </w:r>
      <w:r w:rsidR="00312204" w:rsidRPr="00D80090">
        <w:t>compl</w:t>
      </w:r>
      <w:r w:rsidR="00312204">
        <w:t xml:space="preserve">iance </w:t>
      </w:r>
      <w:r w:rsidR="00DE49D8" w:rsidRPr="00D80090">
        <w:t>with best practices in conducting repurchase transactions.</w:t>
      </w:r>
    </w:p>
    <w:p w14:paraId="2B16A5A2" w14:textId="77777777" w:rsidR="00477F94" w:rsidRDefault="00477F94" w:rsidP="00F36EA5">
      <w:pPr>
        <w:pStyle w:val="ListParagraph"/>
        <w:widowControl w:val="0"/>
        <w:numPr>
          <w:ilvl w:val="0"/>
          <w:numId w:val="2"/>
        </w:numPr>
        <w:spacing w:after="240"/>
        <w:ind w:left="0" w:firstLine="0"/>
        <w:contextualSpacing w:val="0"/>
        <w:jc w:val="both"/>
      </w:pPr>
      <w:r w:rsidRPr="00D80090">
        <w:lastRenderedPageBreak/>
        <w:t>In developing a domestic government securities market t</w:t>
      </w:r>
      <w:r>
        <w:t xml:space="preserve">he Treasury and </w:t>
      </w:r>
      <w:r w:rsidR="00AD0FF5">
        <w:t xml:space="preserve">the </w:t>
      </w:r>
      <w:r>
        <w:t>BPNG could consider allowing intermediaries, banks and brokers, to provide primary d</w:t>
      </w:r>
      <w:r w:rsidRPr="00D80090">
        <w:t xml:space="preserve">ealer </w:t>
      </w:r>
      <w:r>
        <w:t>market making functions for price discovery and trade execution in exchange for dealer privileges</w:t>
      </w:r>
      <w:r w:rsidR="00825DC5">
        <w:t>.</w:t>
      </w:r>
    </w:p>
    <w:p w14:paraId="1EDD0E9F" w14:textId="6785CC9B" w:rsidR="00477F94" w:rsidRDefault="00AD0FF5" w:rsidP="00F36EA5">
      <w:pPr>
        <w:pStyle w:val="ListParagraph"/>
        <w:widowControl w:val="0"/>
        <w:numPr>
          <w:ilvl w:val="0"/>
          <w:numId w:val="2"/>
        </w:numPr>
        <w:spacing w:after="240"/>
        <w:ind w:left="0" w:firstLine="0"/>
        <w:contextualSpacing w:val="0"/>
        <w:jc w:val="both"/>
      </w:pPr>
      <w:r>
        <w:t xml:space="preserve">The </w:t>
      </w:r>
      <w:r w:rsidR="00477F94" w:rsidRPr="00D80090">
        <w:t xml:space="preserve">BPNG </w:t>
      </w:r>
      <w:r>
        <w:t xml:space="preserve">should </w:t>
      </w:r>
      <w:r w:rsidR="0052688D">
        <w:t>establish</w:t>
      </w:r>
      <w:r w:rsidR="00DE49D8">
        <w:t xml:space="preserve"> market convention </w:t>
      </w:r>
      <w:r w:rsidR="00477F94" w:rsidRPr="00D80090">
        <w:t xml:space="preserve">standards </w:t>
      </w:r>
      <w:r w:rsidR="00DE49D8">
        <w:t xml:space="preserve">and </w:t>
      </w:r>
      <w:r>
        <w:t xml:space="preserve">a </w:t>
      </w:r>
      <w:r w:rsidR="00DE49D8">
        <w:t xml:space="preserve">code of conduct </w:t>
      </w:r>
      <w:r w:rsidR="00477F94" w:rsidRPr="00D80090">
        <w:t>for intermediaries executing trades between dealer-to-client and dealer-to-dealer in the secondary market.</w:t>
      </w:r>
      <w:r w:rsidR="00477F94">
        <w:t xml:space="preserve"> </w:t>
      </w:r>
      <w:r>
        <w:t xml:space="preserve">The </w:t>
      </w:r>
      <w:r w:rsidR="00477F94" w:rsidRPr="00D80090">
        <w:t xml:space="preserve">BPNG </w:t>
      </w:r>
      <w:r>
        <w:t xml:space="preserve">should </w:t>
      </w:r>
      <w:r w:rsidR="00477F94" w:rsidRPr="00D80090">
        <w:t>establish a code of conduct for intermediaries and dealers to conduct business in the PNG debt securities market.</w:t>
      </w:r>
    </w:p>
    <w:p w14:paraId="2186AA47" w14:textId="77777777" w:rsidR="00DE49D8" w:rsidRDefault="00DE49D8" w:rsidP="00F36EA5">
      <w:pPr>
        <w:pStyle w:val="ListParagraph"/>
        <w:widowControl w:val="0"/>
        <w:numPr>
          <w:ilvl w:val="0"/>
          <w:numId w:val="2"/>
        </w:numPr>
        <w:spacing w:after="240"/>
        <w:ind w:left="0" w:firstLine="0"/>
        <w:contextualSpacing w:val="0"/>
        <w:jc w:val="both"/>
      </w:pPr>
      <w:r w:rsidRPr="00D80090">
        <w:t xml:space="preserve">Transparency is enhanced by requirements for timely and accurate reporting of </w:t>
      </w:r>
      <w:r>
        <w:t xml:space="preserve">secondary market </w:t>
      </w:r>
      <w:r w:rsidRPr="00D80090">
        <w:t xml:space="preserve">transactions in the OTC market. Reporting dealer and client transactions </w:t>
      </w:r>
      <w:r w:rsidR="00AD0FF5">
        <w:t xml:space="preserve">should </w:t>
      </w:r>
      <w:r w:rsidRPr="00D80090">
        <w:t xml:space="preserve">be directly to </w:t>
      </w:r>
      <w:r w:rsidR="00AD0FF5">
        <w:t xml:space="preserve">the </w:t>
      </w:r>
      <w:r w:rsidRPr="00D80090">
        <w:t>BPNG</w:t>
      </w:r>
      <w:r w:rsidR="00AD0FF5">
        <w:t xml:space="preserve"> and the BPNG should establish procedures to ensure that there is</w:t>
      </w:r>
      <w:r w:rsidR="00AD0FF5" w:rsidRPr="00AD0FF5">
        <w:t xml:space="preserve"> timely and accurate </w:t>
      </w:r>
      <w:r w:rsidR="00DC2D47">
        <w:t>dissemination</w:t>
      </w:r>
      <w:r w:rsidR="00AD0FF5" w:rsidRPr="00AD0FF5">
        <w:t xml:space="preserve"> of secondary market transactions </w:t>
      </w:r>
      <w:r w:rsidR="00AD0FF5">
        <w:t xml:space="preserve">to the </w:t>
      </w:r>
      <w:r w:rsidR="00AD0FF5" w:rsidRPr="00AD0FF5">
        <w:t>market</w:t>
      </w:r>
      <w:r w:rsidR="00DC2D47">
        <w:t xml:space="preserve"> place</w:t>
      </w:r>
      <w:r w:rsidR="00AD0FF5">
        <w:t>.</w:t>
      </w:r>
    </w:p>
    <w:p w14:paraId="463F2854" w14:textId="77777777" w:rsidR="00DE49D8" w:rsidRDefault="00DE49D8" w:rsidP="00DE49D8">
      <w:pPr>
        <w:pStyle w:val="ListParagraph"/>
        <w:widowControl w:val="0"/>
        <w:numPr>
          <w:ilvl w:val="0"/>
          <w:numId w:val="2"/>
        </w:numPr>
        <w:spacing w:after="240"/>
        <w:ind w:left="0" w:firstLine="0"/>
        <w:contextualSpacing w:val="0"/>
        <w:jc w:val="both"/>
      </w:pPr>
      <w:r w:rsidRPr="00D80090">
        <w:t xml:space="preserve">Compliance plays a key role in ensuring market professionals are acting within the standards and practices set by the governing authorities. </w:t>
      </w:r>
      <w:r w:rsidR="00AD0FF5">
        <w:t xml:space="preserve">The </w:t>
      </w:r>
      <w:r>
        <w:t xml:space="preserve">BPNG </w:t>
      </w:r>
      <w:r w:rsidR="00AD0FF5">
        <w:t>must</w:t>
      </w:r>
      <w:r>
        <w:t xml:space="preserve"> e</w:t>
      </w:r>
      <w:r w:rsidRPr="00D80090">
        <w:t>nsure</w:t>
      </w:r>
      <w:r w:rsidR="00AD0FF5">
        <w:t xml:space="preserve"> that there is </w:t>
      </w:r>
      <w:r w:rsidRPr="00D80090">
        <w:t>effective market oversight/</w:t>
      </w:r>
      <w:r>
        <w:t xml:space="preserve">surveillance of </w:t>
      </w:r>
      <w:r w:rsidR="00AD0FF5">
        <w:t xml:space="preserve">all </w:t>
      </w:r>
      <w:r>
        <w:t>parties transacting in the OTC secondary market</w:t>
      </w:r>
      <w:r w:rsidRPr="00D80090">
        <w:t>.</w:t>
      </w:r>
      <w:r>
        <w:t xml:space="preserve"> </w:t>
      </w:r>
      <w:r w:rsidRPr="009D3E1D">
        <w:rPr>
          <w:rFonts w:cs="Times New Roman"/>
        </w:rPr>
        <w:t>Trades reported</w:t>
      </w:r>
      <w:r>
        <w:rPr>
          <w:rFonts w:cs="Times New Roman"/>
        </w:rPr>
        <w:t xml:space="preserve"> to the BPNG will</w:t>
      </w:r>
      <w:r w:rsidRPr="00720653">
        <w:rPr>
          <w:rFonts w:cs="Times New Roman"/>
        </w:rPr>
        <w:t xml:space="preserve"> need a mechanism for dissemination to th</w:t>
      </w:r>
      <w:r>
        <w:rPr>
          <w:rFonts w:cs="Times New Roman"/>
        </w:rPr>
        <w:t>e market place.</w:t>
      </w:r>
    </w:p>
    <w:p w14:paraId="7FFB03BD" w14:textId="77777777" w:rsidR="00477F94" w:rsidRPr="009A775E" w:rsidRDefault="003F57B7" w:rsidP="00EA2D3A">
      <w:pPr>
        <w:widowControl w:val="0"/>
        <w:spacing w:after="240"/>
        <w:jc w:val="both"/>
        <w:rPr>
          <w:i/>
          <w:u w:val="single"/>
        </w:rPr>
      </w:pPr>
      <w:r>
        <w:rPr>
          <w:i/>
          <w:u w:val="single"/>
        </w:rPr>
        <w:t>8</w:t>
      </w:r>
      <w:r w:rsidR="008B2C3D">
        <w:rPr>
          <w:i/>
          <w:u w:val="single"/>
        </w:rPr>
        <w:t xml:space="preserve">. </w:t>
      </w:r>
      <w:r w:rsidR="00477F94" w:rsidRPr="009A775E">
        <w:rPr>
          <w:i/>
          <w:u w:val="single"/>
        </w:rPr>
        <w:t>Market Infrastructure-</w:t>
      </w:r>
    </w:p>
    <w:p w14:paraId="5BCB7912" w14:textId="77777777" w:rsidR="00DE49D8" w:rsidRDefault="00DC2D47" w:rsidP="00EA2D3A">
      <w:pPr>
        <w:pStyle w:val="ListParagraph"/>
        <w:widowControl w:val="0"/>
        <w:numPr>
          <w:ilvl w:val="0"/>
          <w:numId w:val="2"/>
        </w:numPr>
        <w:spacing w:after="240"/>
        <w:ind w:left="0" w:firstLine="0"/>
        <w:contextualSpacing w:val="0"/>
        <w:jc w:val="both"/>
      </w:pPr>
      <w:r>
        <w:t xml:space="preserve">The </w:t>
      </w:r>
      <w:r w:rsidR="00825DC5">
        <w:t xml:space="preserve">BPNG </w:t>
      </w:r>
      <w:r>
        <w:t xml:space="preserve">should </w:t>
      </w:r>
      <w:r w:rsidR="00825DC5">
        <w:t>e</w:t>
      </w:r>
      <w:r w:rsidR="00477F94">
        <w:t xml:space="preserve">stablish an automated </w:t>
      </w:r>
      <w:r w:rsidR="00825DC5">
        <w:t xml:space="preserve">clearing and settlement and </w:t>
      </w:r>
      <w:r>
        <w:t xml:space="preserve">a </w:t>
      </w:r>
      <w:r w:rsidR="00477F94">
        <w:t>Central Securities Depositor</w:t>
      </w:r>
      <w:r w:rsidR="00C742BE">
        <w:t>y</w:t>
      </w:r>
      <w:r w:rsidR="00DE49D8">
        <w:t xml:space="preserve"> (CSD) as a key infrastructure development for the </w:t>
      </w:r>
      <w:r w:rsidR="00DE49D8" w:rsidRPr="00D2375B">
        <w:t>interbank</w:t>
      </w:r>
      <w:r w:rsidR="00DE49D8">
        <w:t>, government securities, and central bank bills markets.</w:t>
      </w:r>
    </w:p>
    <w:p w14:paraId="27F09ADB" w14:textId="64D35D35" w:rsidR="00B55FEA" w:rsidRDefault="00477F94" w:rsidP="00EA2D3A">
      <w:pPr>
        <w:pStyle w:val="ListParagraph"/>
        <w:widowControl w:val="0"/>
        <w:numPr>
          <w:ilvl w:val="0"/>
          <w:numId w:val="2"/>
        </w:numPr>
        <w:spacing w:after="240"/>
        <w:ind w:left="0" w:firstLine="0"/>
        <w:contextualSpacing w:val="0"/>
        <w:jc w:val="both"/>
      </w:pPr>
      <w:r>
        <w:t>The BPNG should reinitiate dialogue and evaluation with vendors of electronic clearing, settlement, and central custodial systems</w:t>
      </w:r>
      <w:r w:rsidR="00DE49D8">
        <w:t xml:space="preserve"> e.g. </w:t>
      </w:r>
      <w:proofErr w:type="spellStart"/>
      <w:r w:rsidR="00DE49D8">
        <w:t>Austraclear</w:t>
      </w:r>
      <w:proofErr w:type="spellEnd"/>
      <w:r w:rsidR="00312204">
        <w:t xml:space="preserve"> </w:t>
      </w:r>
      <w:r w:rsidR="00DC2D47">
        <w:t>with the aim of establishing</w:t>
      </w:r>
      <w:r w:rsidR="00DC2D47" w:rsidRPr="00DC2D47">
        <w:t xml:space="preserve"> </w:t>
      </w:r>
      <w:r w:rsidR="00DC2D47">
        <w:t>an</w:t>
      </w:r>
      <w:r w:rsidR="00DC2D47" w:rsidRPr="00DC2D47">
        <w:t xml:space="preserve"> electronic clearing, settlement, and central custodial systems</w:t>
      </w:r>
      <w:r w:rsidR="00DC2D47">
        <w:t xml:space="preserve"> within a reasonable</w:t>
      </w:r>
      <w:r w:rsidR="00312204">
        <w:t xml:space="preserve"> </w:t>
      </w:r>
      <w:r w:rsidR="00DC2D47">
        <w:t>timeframe</w:t>
      </w:r>
      <w:r w:rsidR="008925E3">
        <w:t xml:space="preserve">. </w:t>
      </w:r>
    </w:p>
    <w:p w14:paraId="54718BF0" w14:textId="77777777" w:rsidR="00AE0462" w:rsidRPr="009A775E" w:rsidRDefault="003F57B7" w:rsidP="00AE0462">
      <w:pPr>
        <w:widowControl w:val="0"/>
        <w:spacing w:after="240"/>
        <w:jc w:val="both"/>
        <w:rPr>
          <w:i/>
          <w:u w:val="single"/>
        </w:rPr>
      </w:pPr>
      <w:r>
        <w:rPr>
          <w:i/>
          <w:u w:val="single"/>
        </w:rPr>
        <w:t>9</w:t>
      </w:r>
      <w:r w:rsidR="008B2C3D">
        <w:rPr>
          <w:i/>
          <w:u w:val="single"/>
        </w:rPr>
        <w:t xml:space="preserve">. </w:t>
      </w:r>
      <w:r w:rsidR="00AE0462" w:rsidRPr="009A775E">
        <w:rPr>
          <w:i/>
          <w:u w:val="single"/>
        </w:rPr>
        <w:t>Equity Market-</w:t>
      </w:r>
    </w:p>
    <w:p w14:paraId="231261DD" w14:textId="5130B598" w:rsidR="00AE0462" w:rsidRPr="00AE0462" w:rsidRDefault="00DC2D47" w:rsidP="00AE0462">
      <w:pPr>
        <w:pStyle w:val="ListParagraph"/>
        <w:widowControl w:val="0"/>
        <w:numPr>
          <w:ilvl w:val="0"/>
          <w:numId w:val="2"/>
        </w:numPr>
        <w:spacing w:after="240"/>
        <w:ind w:left="0" w:firstLine="0"/>
        <w:contextualSpacing w:val="0"/>
        <w:jc w:val="both"/>
        <w:rPr>
          <w:i/>
        </w:rPr>
      </w:pPr>
      <w:r>
        <w:t xml:space="preserve">It is recommended that action be taken to </w:t>
      </w:r>
      <w:r w:rsidR="00FE1658">
        <w:t>amend</w:t>
      </w:r>
      <w:r w:rsidR="00CF0306">
        <w:t xml:space="preserve"> the stock exchange’s</w:t>
      </w:r>
      <w:r w:rsidR="00AE0462">
        <w:t xml:space="preserve"> </w:t>
      </w:r>
      <w:r w:rsidR="00FE1658">
        <w:t>current duopoly</w:t>
      </w:r>
      <w:r>
        <w:t xml:space="preserve"> </w:t>
      </w:r>
      <w:r w:rsidR="00AE0462">
        <w:t>ownership</w:t>
      </w:r>
      <w:r w:rsidR="006D652D">
        <w:t xml:space="preserve"> </w:t>
      </w:r>
      <w:r w:rsidR="00CF0306">
        <w:t xml:space="preserve">by potentially allowing international ownership, which would import technology </w:t>
      </w:r>
      <w:r w:rsidR="003F57B7">
        <w:t xml:space="preserve">and </w:t>
      </w:r>
      <w:r w:rsidR="00FE1658">
        <w:t xml:space="preserve">expand </w:t>
      </w:r>
      <w:r w:rsidR="008925E3">
        <w:t xml:space="preserve">knowledge to the local exchange. </w:t>
      </w:r>
    </w:p>
    <w:p w14:paraId="13410F70" w14:textId="77777777" w:rsidR="00AE4DD6" w:rsidRPr="003F04B9" w:rsidRDefault="005A67B4" w:rsidP="00AE4DD6">
      <w:pPr>
        <w:widowControl w:val="0"/>
        <w:spacing w:after="240"/>
        <w:jc w:val="center"/>
        <w:rPr>
          <w:rFonts w:cs="Times New Roman"/>
          <w:b/>
          <w:noProof/>
          <w:sz w:val="28"/>
          <w:szCs w:val="28"/>
        </w:rPr>
      </w:pPr>
      <w:r w:rsidRPr="003F04B9">
        <w:rPr>
          <w:rFonts w:cs="Times New Roman"/>
          <w:b/>
          <w:noProof/>
          <w:sz w:val="28"/>
          <w:szCs w:val="28"/>
        </w:rPr>
        <w:t xml:space="preserve">II. </w:t>
      </w:r>
      <w:r w:rsidR="00AE4DD6" w:rsidRPr="003F04B9">
        <w:rPr>
          <w:rFonts w:cs="Times New Roman"/>
          <w:b/>
          <w:noProof/>
          <w:sz w:val="28"/>
          <w:szCs w:val="28"/>
        </w:rPr>
        <w:t>Introduction</w:t>
      </w:r>
    </w:p>
    <w:p w14:paraId="41F9FF59" w14:textId="77777777" w:rsidR="00B55FEA" w:rsidRPr="00B55FEA" w:rsidRDefault="00B55FEA" w:rsidP="00B55FEA">
      <w:pPr>
        <w:pStyle w:val="ListParagraph"/>
        <w:widowControl w:val="0"/>
        <w:numPr>
          <w:ilvl w:val="0"/>
          <w:numId w:val="2"/>
        </w:numPr>
        <w:spacing w:after="240"/>
        <w:ind w:left="0" w:firstLine="0"/>
        <w:contextualSpacing w:val="0"/>
        <w:jc w:val="both"/>
        <w:rPr>
          <w:rFonts w:cs="Times New Roman"/>
        </w:rPr>
      </w:pPr>
      <w:r>
        <w:rPr>
          <w:rFonts w:cs="Times New Roman"/>
        </w:rPr>
        <w:t xml:space="preserve">The IMF estimates </w:t>
      </w:r>
      <w:r w:rsidR="00FE1658">
        <w:rPr>
          <w:rFonts w:cs="Times New Roman"/>
        </w:rPr>
        <w:t xml:space="preserve">that </w:t>
      </w:r>
      <w:r>
        <w:rPr>
          <w:rFonts w:cs="Times New Roman"/>
        </w:rPr>
        <w:t>e</w:t>
      </w:r>
      <w:r w:rsidR="006636CD">
        <w:rPr>
          <w:rFonts w:cs="Times New Roman"/>
        </w:rPr>
        <w:t>conomic activity</w:t>
      </w:r>
      <w:r w:rsidRPr="00B55FEA">
        <w:rPr>
          <w:rFonts w:cs="Times New Roman"/>
        </w:rPr>
        <w:t xml:space="preserve"> </w:t>
      </w:r>
      <w:r w:rsidR="00FE1658">
        <w:rPr>
          <w:rFonts w:cs="Times New Roman"/>
        </w:rPr>
        <w:t>will</w:t>
      </w:r>
      <w:r w:rsidRPr="00B55FEA">
        <w:rPr>
          <w:rFonts w:cs="Times New Roman"/>
        </w:rPr>
        <w:t xml:space="preserve"> expand by</w:t>
      </w:r>
      <w:r w:rsidR="006636CD">
        <w:rPr>
          <w:rFonts w:cs="Times New Roman"/>
        </w:rPr>
        <w:t xml:space="preserve"> 5.8%</w:t>
      </w:r>
      <w:r w:rsidRPr="00B55FEA">
        <w:rPr>
          <w:rFonts w:cs="Times New Roman"/>
        </w:rPr>
        <w:t xml:space="preserve"> in 2014, largely driven by </w:t>
      </w:r>
      <w:r w:rsidR="00FE1658">
        <w:t>liquefied natural gas (</w:t>
      </w:r>
      <w:r w:rsidRPr="00B55FEA">
        <w:rPr>
          <w:rFonts w:cs="Times New Roman"/>
        </w:rPr>
        <w:t>LNG</w:t>
      </w:r>
      <w:r w:rsidR="00FE1658">
        <w:rPr>
          <w:rFonts w:cs="Times New Roman"/>
        </w:rPr>
        <w:t>)</w:t>
      </w:r>
      <w:r>
        <w:rPr>
          <w:rFonts w:cs="Times New Roman"/>
        </w:rPr>
        <w:t xml:space="preserve"> </w:t>
      </w:r>
      <w:r w:rsidRPr="00B55FEA">
        <w:rPr>
          <w:rFonts w:cs="Times New Roman"/>
        </w:rPr>
        <w:t>production. With production reaching full capacity next year, real GDP growth is projected to surge</w:t>
      </w:r>
      <w:r>
        <w:rPr>
          <w:rFonts w:cs="Times New Roman"/>
        </w:rPr>
        <w:t xml:space="preserve"> </w:t>
      </w:r>
      <w:r w:rsidR="006636CD">
        <w:rPr>
          <w:rFonts w:cs="Times New Roman"/>
        </w:rPr>
        <w:t>to around 19.5%</w:t>
      </w:r>
      <w:r w:rsidRPr="00B55FEA">
        <w:rPr>
          <w:rFonts w:cs="Times New Roman"/>
        </w:rPr>
        <w:t xml:space="preserve"> in 2015</w:t>
      </w:r>
      <w:r>
        <w:rPr>
          <w:rFonts w:cs="Times New Roman"/>
        </w:rPr>
        <w:t xml:space="preserve">. </w:t>
      </w:r>
      <w:r w:rsidRPr="00B55FEA">
        <w:rPr>
          <w:rFonts w:cs="Times New Roman"/>
        </w:rPr>
        <w:t xml:space="preserve">Headline inflation </w:t>
      </w:r>
      <w:r w:rsidR="006636CD">
        <w:rPr>
          <w:rFonts w:cs="Times New Roman"/>
        </w:rPr>
        <w:t>is projected to exceed 5%</w:t>
      </w:r>
      <w:r w:rsidRPr="00B55FEA">
        <w:rPr>
          <w:rFonts w:cs="Times New Roman"/>
        </w:rPr>
        <w:t xml:space="preserve"> in 2014, reflecting the effects of the </w:t>
      </w:r>
      <w:r w:rsidR="00FE1658">
        <w:rPr>
          <w:rFonts w:cs="Times New Roman"/>
        </w:rPr>
        <w:t>K</w:t>
      </w:r>
      <w:r w:rsidRPr="00B55FEA">
        <w:rPr>
          <w:rFonts w:cs="Times New Roman"/>
        </w:rPr>
        <w:t xml:space="preserve">ina depreciation </w:t>
      </w:r>
      <w:r w:rsidRPr="00B55FEA">
        <w:rPr>
          <w:rFonts w:cs="Times New Roman"/>
        </w:rPr>
        <w:lastRenderedPageBreak/>
        <w:t xml:space="preserve">in the first part </w:t>
      </w:r>
      <w:r>
        <w:rPr>
          <w:rFonts w:cs="Times New Roman"/>
        </w:rPr>
        <w:t>of the year and fiscal stimulus.</w:t>
      </w:r>
      <w:r>
        <w:rPr>
          <w:rStyle w:val="FootnoteReference"/>
          <w:rFonts w:cs="Times New Roman"/>
        </w:rPr>
        <w:footnoteReference w:id="4"/>
      </w:r>
    </w:p>
    <w:p w14:paraId="2EC5D3FF" w14:textId="5DCB32FE" w:rsidR="004C1458" w:rsidRPr="004C1458" w:rsidRDefault="004C1458" w:rsidP="004C1458">
      <w:pPr>
        <w:pStyle w:val="ListParagraph"/>
        <w:widowControl w:val="0"/>
        <w:numPr>
          <w:ilvl w:val="0"/>
          <w:numId w:val="2"/>
        </w:numPr>
        <w:spacing w:after="240"/>
        <w:ind w:left="0" w:firstLine="0"/>
        <w:contextualSpacing w:val="0"/>
        <w:jc w:val="both"/>
        <w:rPr>
          <w:rFonts w:cs="Times New Roman"/>
        </w:rPr>
      </w:pPr>
      <w:r w:rsidRPr="00FC36D4">
        <w:rPr>
          <w:rFonts w:cs="Times New Roman"/>
        </w:rPr>
        <w:t xml:space="preserve">PNG’s overall stock of Kina denominated public debt stood at </w:t>
      </w:r>
      <w:r w:rsidR="00527A41">
        <w:rPr>
          <w:rFonts w:cs="Times New Roman"/>
        </w:rPr>
        <w:t>35.5</w:t>
      </w:r>
      <w:r w:rsidRPr="000C16B5">
        <w:rPr>
          <w:rFonts w:cs="Times New Roman"/>
        </w:rPr>
        <w:t>%</w:t>
      </w:r>
      <w:r w:rsidR="00527A41">
        <w:rPr>
          <w:rFonts w:cs="Times New Roman"/>
        </w:rPr>
        <w:t xml:space="preserve"> of GDP at the end of 2014</w:t>
      </w:r>
      <w:r w:rsidRPr="00FC36D4">
        <w:rPr>
          <w:rFonts w:cs="Times New Roman"/>
        </w:rPr>
        <w:t>.</w:t>
      </w:r>
      <w:r w:rsidRPr="00174A65">
        <w:rPr>
          <w:rFonts w:cs="Times New Roman"/>
          <w:b/>
        </w:rPr>
        <w:t xml:space="preserve"> </w:t>
      </w:r>
      <w:r w:rsidRPr="004C1458">
        <w:rPr>
          <w:rFonts w:cs="Times New Roman"/>
        </w:rPr>
        <w:t>The Fiscal Responsibility Act (FRA) stipulates a nominal debt to GDP limit on central government borrowing</w:t>
      </w:r>
      <w:r w:rsidR="006636CD">
        <w:rPr>
          <w:rFonts w:cs="Times New Roman"/>
        </w:rPr>
        <w:t>s</w:t>
      </w:r>
      <w:r w:rsidRPr="004C1458">
        <w:rPr>
          <w:rFonts w:cs="Times New Roman"/>
        </w:rPr>
        <w:t xml:space="preserve"> of 35% of GDP for 2013, 2104, and 2015, with the level falling to 30%</w:t>
      </w:r>
      <w:r>
        <w:rPr>
          <w:rStyle w:val="FootnoteReference"/>
          <w:rFonts w:cs="Times New Roman"/>
        </w:rPr>
        <w:footnoteReference w:id="5"/>
      </w:r>
      <w:r w:rsidRPr="004C1458">
        <w:rPr>
          <w:rFonts w:cs="Times New Roman"/>
        </w:rPr>
        <w:t xml:space="preserve"> thereafter. </w:t>
      </w:r>
      <w:r w:rsidRPr="004C1458">
        <w:t>The limit applies only to debt centrally borrowed by the Government and does not include superannuation arrears, State Owned Enterprise borrowing or contingent liabilities.</w:t>
      </w:r>
    </w:p>
    <w:p w14:paraId="7662AF3B" w14:textId="5A2B0A05" w:rsidR="004C1458" w:rsidRDefault="004C1458" w:rsidP="00400607">
      <w:pPr>
        <w:pStyle w:val="ListParagraph"/>
        <w:widowControl w:val="0"/>
        <w:numPr>
          <w:ilvl w:val="0"/>
          <w:numId w:val="2"/>
        </w:numPr>
        <w:spacing w:after="240"/>
        <w:ind w:left="0" w:firstLine="0"/>
        <w:contextualSpacing w:val="0"/>
        <w:jc w:val="both"/>
      </w:pPr>
      <w:r w:rsidRPr="00741C4A">
        <w:t>PNG’s fiscal position</w:t>
      </w:r>
      <w:r>
        <w:t xml:space="preserve"> began running fiscal deficits in 2011 of </w:t>
      </w:r>
      <w:r w:rsidR="00A65D6F">
        <w:t>PG</w:t>
      </w:r>
      <w:r>
        <w:t>K</w:t>
      </w:r>
      <w:r w:rsidR="00083E32">
        <w:t xml:space="preserve"> </w:t>
      </w:r>
      <w:r>
        <w:t>65.7mm with subsequent increases to PGK</w:t>
      </w:r>
      <w:r w:rsidR="00083E32">
        <w:t xml:space="preserve"> </w:t>
      </w:r>
      <w:r>
        <w:t>1, 377.9mm in 2012, PGK</w:t>
      </w:r>
      <w:r w:rsidR="00083E32">
        <w:t xml:space="preserve"> </w:t>
      </w:r>
      <w:r>
        <w:t xml:space="preserve">2, </w:t>
      </w:r>
      <w:r w:rsidR="0052688D">
        <w:t>672.4mm in 2013, and PGK</w:t>
      </w:r>
      <w:r w:rsidR="00083E32">
        <w:t xml:space="preserve"> </w:t>
      </w:r>
      <w:r w:rsidR="0052688D">
        <w:t>2, 992.2</w:t>
      </w:r>
      <w:r>
        <w:t xml:space="preserve">mm in 2014, with projected fiscal deficits </w:t>
      </w:r>
      <w:r w:rsidR="00FE1658">
        <w:t xml:space="preserve">continuing </w:t>
      </w:r>
      <w:r>
        <w:t>into 2017.</w:t>
      </w:r>
    </w:p>
    <w:p w14:paraId="42E96338" w14:textId="77777777" w:rsidR="00AE4DD6" w:rsidRDefault="004C1458" w:rsidP="00F04788">
      <w:pPr>
        <w:pStyle w:val="ListParagraph"/>
        <w:widowControl w:val="0"/>
        <w:numPr>
          <w:ilvl w:val="0"/>
          <w:numId w:val="2"/>
        </w:numPr>
        <w:spacing w:after="240"/>
        <w:ind w:left="0" w:firstLine="0"/>
        <w:contextualSpacing w:val="0"/>
        <w:jc w:val="both"/>
      </w:pPr>
      <w:r w:rsidRPr="00EC1FA0">
        <w:t>PNG made its first two shipments</w:t>
      </w:r>
      <w:r>
        <w:t xml:space="preserve"> of LNG in 2014. T</w:t>
      </w:r>
      <w:r w:rsidRPr="001D7BD9">
        <w:t>he anticipated revenue fro</w:t>
      </w:r>
      <w:r>
        <w:t xml:space="preserve">m the ExxonMobil-led project encouraged the Government to commit itself to increased budgetary expenditures for development of </w:t>
      </w:r>
      <w:r w:rsidRPr="001D7BD9">
        <w:t>public infrastructure, upgrading education</w:t>
      </w:r>
      <w:r w:rsidR="006636CD">
        <w:t>,</w:t>
      </w:r>
      <w:r w:rsidRPr="001D7BD9">
        <w:t xml:space="preserve"> and health services</w:t>
      </w:r>
      <w:r>
        <w:t>.</w:t>
      </w:r>
      <w:r w:rsidRPr="001D7BD9">
        <w:t xml:space="preserve"> </w:t>
      </w:r>
      <w:r>
        <w:t>T</w:t>
      </w:r>
      <w:r w:rsidRPr="001D7BD9">
        <w:t xml:space="preserve">he main benefits of LNG production </w:t>
      </w:r>
      <w:r>
        <w:t xml:space="preserve">would </w:t>
      </w:r>
      <w:r w:rsidRPr="001D7BD9">
        <w:t>come from the revenue to the Government and local investors, and how productively this revenue is then reinvested in the local economy.</w:t>
      </w:r>
    </w:p>
    <w:p w14:paraId="0E902DB1" w14:textId="3DDEC702" w:rsidR="00B55FEA" w:rsidRDefault="00B55FEA" w:rsidP="00B55FEA">
      <w:pPr>
        <w:pStyle w:val="ListParagraph"/>
        <w:widowControl w:val="0"/>
        <w:numPr>
          <w:ilvl w:val="0"/>
          <w:numId w:val="2"/>
        </w:numPr>
        <w:spacing w:after="240"/>
        <w:ind w:left="0" w:firstLine="0"/>
        <w:contextualSpacing w:val="0"/>
        <w:jc w:val="both"/>
      </w:pPr>
      <w:r w:rsidRPr="00B55FEA">
        <w:t>The banking system remains stable</w:t>
      </w:r>
      <w:r>
        <w:rPr>
          <w:rStyle w:val="FootnoteReference"/>
        </w:rPr>
        <w:footnoteReference w:id="6"/>
      </w:r>
      <w:r w:rsidRPr="00B55FEA">
        <w:t>, underpinned by strong capital adequacy and</w:t>
      </w:r>
      <w:r>
        <w:t xml:space="preserve"> </w:t>
      </w:r>
      <w:r w:rsidRPr="00B55FEA">
        <w:t>ample liquidity. Banks continue to be profitable and non-performing loans ratios</w:t>
      </w:r>
      <w:r>
        <w:t xml:space="preserve"> are low</w:t>
      </w:r>
      <w:r w:rsidR="00FE1658">
        <w:t>,</w:t>
      </w:r>
      <w:r>
        <w:t xml:space="preserve"> </w:t>
      </w:r>
      <w:r w:rsidR="001F18B5">
        <w:t>at less than 2%</w:t>
      </w:r>
      <w:r w:rsidR="00FE1658">
        <w:t>,</w:t>
      </w:r>
      <w:r w:rsidR="001F18B5">
        <w:t xml:space="preserve"> and b</w:t>
      </w:r>
      <w:r w:rsidRPr="00B55FEA">
        <w:t xml:space="preserve">anks’ </w:t>
      </w:r>
      <w:r w:rsidR="00FE1658">
        <w:t xml:space="preserve">maintain </w:t>
      </w:r>
      <w:r w:rsidR="00A65D6F">
        <w:t xml:space="preserve">high liquidity ratios, </w:t>
      </w:r>
      <w:r w:rsidRPr="00B55FEA">
        <w:t>with more than half of their assets held in government securities or</w:t>
      </w:r>
      <w:r>
        <w:t xml:space="preserve"> </w:t>
      </w:r>
      <w:r w:rsidR="00A65D6F">
        <w:t xml:space="preserve">cash, </w:t>
      </w:r>
      <w:r w:rsidRPr="00B55FEA">
        <w:t>partly reflect</w:t>
      </w:r>
      <w:r w:rsidR="00FE1658">
        <w:t>ive of</w:t>
      </w:r>
      <w:r w:rsidRPr="00B55FEA">
        <w:t xml:space="preserve"> the structurally low levels of lending. The loan-to-deposit</w:t>
      </w:r>
      <w:r>
        <w:rPr>
          <w:rFonts w:cs="Times New Roman"/>
          <w:sz w:val="21"/>
          <w:szCs w:val="21"/>
        </w:rPr>
        <w:t xml:space="preserve"> </w:t>
      </w:r>
      <w:r w:rsidRPr="00B55FEA">
        <w:t>ratio has be</w:t>
      </w:r>
      <w:r w:rsidR="006636CD">
        <w:t>en consistently below 50%</w:t>
      </w:r>
      <w:r w:rsidRPr="00B55FEA">
        <w:t>, among the lowest in the Pacific Island region.</w:t>
      </w:r>
    </w:p>
    <w:p w14:paraId="4C35AAAE" w14:textId="77777777" w:rsidR="00A1526F" w:rsidRDefault="00A1526F" w:rsidP="00B55FEA">
      <w:pPr>
        <w:pStyle w:val="ListParagraph"/>
        <w:widowControl w:val="0"/>
        <w:numPr>
          <w:ilvl w:val="0"/>
          <w:numId w:val="2"/>
        </w:numPr>
        <w:spacing w:after="240"/>
        <w:ind w:left="0" w:firstLine="0"/>
        <w:contextualSpacing w:val="0"/>
        <w:jc w:val="both"/>
      </w:pPr>
      <w:r w:rsidRPr="00D80090">
        <w:t xml:space="preserve">Typically in the early stages of domestic bond market development, the leading catalyst is the central government’s issuance of debt securities and in some cases the issuance </w:t>
      </w:r>
      <w:r w:rsidR="00FE1658">
        <w:t xml:space="preserve">of </w:t>
      </w:r>
      <w:r w:rsidRPr="00D80090">
        <w:t>central bank debt securities</w:t>
      </w:r>
      <w:r>
        <w:t>,</w:t>
      </w:r>
      <w:r w:rsidRPr="00D80090">
        <w:t xml:space="preserve"> which is the current environment in P</w:t>
      </w:r>
      <w:r w:rsidR="00CB608F">
        <w:t>apua</w:t>
      </w:r>
      <w:r w:rsidRPr="00D80090">
        <w:t xml:space="preserve"> New Guinea. The PNG primary market for government and central bank securities are principally the main access point</w:t>
      </w:r>
      <w:r w:rsidR="006636CD">
        <w:t>s</w:t>
      </w:r>
      <w:r w:rsidRPr="00D80090">
        <w:t xml:space="preserve"> for investors as secondary market transactions are extremely limited.</w:t>
      </w:r>
    </w:p>
    <w:p w14:paraId="41E1A4B6" w14:textId="328C7544" w:rsidR="00A1526F" w:rsidRDefault="00A1526F" w:rsidP="00B55FEA">
      <w:pPr>
        <w:pStyle w:val="ListParagraph"/>
        <w:widowControl w:val="0"/>
        <w:numPr>
          <w:ilvl w:val="0"/>
          <w:numId w:val="2"/>
        </w:numPr>
        <w:spacing w:after="240"/>
        <w:ind w:left="0" w:firstLine="0"/>
        <w:contextualSpacing w:val="0"/>
        <w:jc w:val="both"/>
      </w:pPr>
      <w:r>
        <w:t xml:space="preserve">Furthering the </w:t>
      </w:r>
      <w:r w:rsidR="00E67E46">
        <w:t xml:space="preserve">lack of </w:t>
      </w:r>
      <w:r>
        <w:t xml:space="preserve">development of the domestic government securities market in PNG is an important </w:t>
      </w:r>
      <w:r w:rsidR="00E67E46">
        <w:t xml:space="preserve">to economic growth </w:t>
      </w:r>
      <w:r>
        <w:t xml:space="preserve">and </w:t>
      </w:r>
      <w:r w:rsidR="0052688D">
        <w:t>both the Treasury and the BPNG must under take thoughtful policy decisions</w:t>
      </w:r>
      <w:r w:rsidR="00714077">
        <w:t xml:space="preserve">. </w:t>
      </w:r>
      <w:r>
        <w:t xml:space="preserve"> </w:t>
      </w:r>
      <w:r w:rsidR="00714077">
        <w:t xml:space="preserve">This endeavor is critical given </w:t>
      </w:r>
      <w:r>
        <w:t xml:space="preserve">the significant role government and central bank securities </w:t>
      </w:r>
      <w:r w:rsidR="00714077">
        <w:t xml:space="preserve">play in </w:t>
      </w:r>
      <w:r w:rsidR="00680F4B">
        <w:t xml:space="preserve">the local </w:t>
      </w:r>
      <w:r w:rsidR="00714077">
        <w:t xml:space="preserve">financial institution’s and institutional investor’s asset liability management (ALM), central bank monetary operations, </w:t>
      </w:r>
      <w:r w:rsidR="00680F4B">
        <w:t xml:space="preserve">financial stability, </w:t>
      </w:r>
      <w:r w:rsidR="00714077">
        <w:t xml:space="preserve">and </w:t>
      </w:r>
      <w:r w:rsidR="006636CD">
        <w:t xml:space="preserve">providing </w:t>
      </w:r>
      <w:r w:rsidR="00714077">
        <w:t xml:space="preserve">an alternative investment </w:t>
      </w:r>
      <w:r w:rsidR="00E67E46">
        <w:t xml:space="preserve">opportunity </w:t>
      </w:r>
      <w:r w:rsidR="00714077">
        <w:t>for the general public.</w:t>
      </w:r>
    </w:p>
    <w:p w14:paraId="0878A93F" w14:textId="77777777" w:rsidR="00714077" w:rsidRDefault="00714077" w:rsidP="00B55FEA">
      <w:pPr>
        <w:pStyle w:val="ListParagraph"/>
        <w:widowControl w:val="0"/>
        <w:numPr>
          <w:ilvl w:val="0"/>
          <w:numId w:val="2"/>
        </w:numPr>
        <w:spacing w:after="240"/>
        <w:ind w:left="0" w:firstLine="0"/>
        <w:contextualSpacing w:val="0"/>
        <w:jc w:val="both"/>
      </w:pPr>
      <w:r>
        <w:t>The domestic government securities market development is a principle objective</w:t>
      </w:r>
      <w:r w:rsidR="00680F4B">
        <w:t>,</w:t>
      </w:r>
      <w:r>
        <w:t xml:space="preserve"> </w:t>
      </w:r>
      <w:r>
        <w:lastRenderedPageBreak/>
        <w:t>globally</w:t>
      </w:r>
      <w:r w:rsidR="00680F4B">
        <w:t>,</w:t>
      </w:r>
      <w:r>
        <w:t xml:space="preserve"> of debt management office’s and </w:t>
      </w:r>
      <w:r w:rsidR="00680F4B">
        <w:t>T</w:t>
      </w:r>
      <w:r>
        <w:t>reasury department</w:t>
      </w:r>
      <w:r w:rsidR="006636CD">
        <w:t>’s Medium Term Debt Management S</w:t>
      </w:r>
      <w:r>
        <w:t>trategies</w:t>
      </w:r>
      <w:r w:rsidR="006636CD">
        <w:t xml:space="preserve"> (MTDS), as is the case with Treasury’s MTDS</w:t>
      </w:r>
      <w:r>
        <w:t xml:space="preserve">. As emerging </w:t>
      </w:r>
      <w:r w:rsidR="00680F4B">
        <w:t>economies</w:t>
      </w:r>
      <w:r w:rsidR="006636CD">
        <w:t>,</w:t>
      </w:r>
      <w:r w:rsidR="00680F4B">
        <w:t xml:space="preserve"> over time</w:t>
      </w:r>
      <w:r w:rsidR="006636CD">
        <w:t>,</w:t>
      </w:r>
      <w:r w:rsidR="00680F4B">
        <w:t xml:space="preserve"> </w:t>
      </w:r>
      <w:r>
        <w:t xml:space="preserve">move away from concessional </w:t>
      </w:r>
      <w:r w:rsidR="00680F4B">
        <w:t>sources</w:t>
      </w:r>
      <w:r>
        <w:t xml:space="preserve"> of fin</w:t>
      </w:r>
      <w:r w:rsidR="006636CD">
        <w:t>ance and transition to market-</w:t>
      </w:r>
      <w:r w:rsidR="00680F4B">
        <w:t>based domestic a</w:t>
      </w:r>
      <w:r w:rsidR="006636CD">
        <w:t>nd external issuance, the development of the domestic bond market</w:t>
      </w:r>
      <w:r w:rsidR="00680F4B">
        <w:t xml:space="preserve">, given the considerable time it takes to achieve, is a high priority. </w:t>
      </w:r>
    </w:p>
    <w:p w14:paraId="1801822C" w14:textId="4F263CB6" w:rsidR="00680F4B" w:rsidRDefault="00680F4B" w:rsidP="00B55FEA">
      <w:pPr>
        <w:pStyle w:val="ListParagraph"/>
        <w:widowControl w:val="0"/>
        <w:numPr>
          <w:ilvl w:val="0"/>
          <w:numId w:val="2"/>
        </w:numPr>
        <w:spacing w:after="240"/>
        <w:ind w:left="0" w:firstLine="0"/>
        <w:contextualSpacing w:val="0"/>
        <w:jc w:val="both"/>
      </w:pPr>
      <w:r>
        <w:t xml:space="preserve">Domestic government securities markets help </w:t>
      </w:r>
      <w:r w:rsidR="00E67E46">
        <w:t xml:space="preserve">in </w:t>
      </w:r>
      <w:r>
        <w:t>reduc</w:t>
      </w:r>
      <w:r w:rsidR="00E67E46">
        <w:t>e</w:t>
      </w:r>
      <w:r>
        <w:t xml:space="preserve"> the government’s foreign currency exposure</w:t>
      </w:r>
      <w:r w:rsidR="007A5381">
        <w:t>.</w:t>
      </w:r>
      <w:r>
        <w:t xml:space="preserve"> In PNG’s case</w:t>
      </w:r>
      <w:r w:rsidR="00E67E46">
        <w:t>,</w:t>
      </w:r>
      <w:r>
        <w:t xml:space="preserve"> </w:t>
      </w:r>
      <w:r w:rsidR="006636CD">
        <w:t xml:space="preserve">the government’s </w:t>
      </w:r>
      <w:r>
        <w:t>FX exposure is moderate</w:t>
      </w:r>
      <w:r w:rsidR="00E67E46">
        <w:t>,</w:t>
      </w:r>
      <w:r w:rsidR="00083E32">
        <w:t xml:space="preserve"> with 23</w:t>
      </w:r>
      <w:r>
        <w:t>% of public debt portfolio composition in foreign currency, of which is conces</w:t>
      </w:r>
      <w:r w:rsidR="006636CD">
        <w:t>sional</w:t>
      </w:r>
      <w:r w:rsidR="007A5381">
        <w:t xml:space="preserve"> financing</w:t>
      </w:r>
      <w:r w:rsidR="006636CD">
        <w:t>. Treasury’s consideration of market-</w:t>
      </w:r>
      <w:r>
        <w:t xml:space="preserve">based external sovereign issuance </w:t>
      </w:r>
      <w:r w:rsidR="007A5381">
        <w:t>would be appropriate.</w:t>
      </w:r>
    </w:p>
    <w:p w14:paraId="0CEB92E0" w14:textId="116C88E3" w:rsidR="006636CD" w:rsidRDefault="00E67E46" w:rsidP="00B55FEA">
      <w:pPr>
        <w:pStyle w:val="ListParagraph"/>
        <w:widowControl w:val="0"/>
        <w:numPr>
          <w:ilvl w:val="0"/>
          <w:numId w:val="2"/>
        </w:numPr>
        <w:spacing w:after="240"/>
        <w:ind w:left="0" w:firstLine="0"/>
        <w:contextualSpacing w:val="0"/>
        <w:jc w:val="both"/>
      </w:pPr>
      <w:r>
        <w:t>As a small economy, there must be attention given to t</w:t>
      </w:r>
      <w:r w:rsidR="00C32822">
        <w:t>he development of the PNG domestic government</w:t>
      </w:r>
      <w:r w:rsidR="006636CD">
        <w:t xml:space="preserve"> bond</w:t>
      </w:r>
      <w:r w:rsidR="00C32822">
        <w:t xml:space="preserve"> and capital markets</w:t>
      </w:r>
      <w:r w:rsidR="00DA0EF9">
        <w:t>,</w:t>
      </w:r>
      <w:r w:rsidR="00C32822">
        <w:t xml:space="preserve"> </w:t>
      </w:r>
      <w:r>
        <w:t>with the emphasis being placed on</w:t>
      </w:r>
      <w:r w:rsidR="00C32822">
        <w:t xml:space="preserve"> in</w:t>
      </w:r>
      <w:r w:rsidR="006636CD">
        <w:t>itiatives that are not resource</w:t>
      </w:r>
      <w:r w:rsidR="00C32822">
        <w:t xml:space="preserve"> intensive and have </w:t>
      </w:r>
      <w:r w:rsidR="00F86448">
        <w:t xml:space="preserve">meaningful impact in the short to </w:t>
      </w:r>
      <w:r w:rsidR="00C32822">
        <w:t>medium term.</w:t>
      </w:r>
      <w:r w:rsidR="00DA0EF9">
        <w:t xml:space="preserve"> Also, </w:t>
      </w:r>
      <w:r>
        <w:t xml:space="preserve">considerations </w:t>
      </w:r>
      <w:r w:rsidR="00DA0EF9">
        <w:t xml:space="preserve">for market development </w:t>
      </w:r>
      <w:r>
        <w:t xml:space="preserve">must </w:t>
      </w:r>
      <w:r w:rsidR="00DA0EF9">
        <w:t xml:space="preserve">consider the conditions specific to PNG. </w:t>
      </w:r>
    </w:p>
    <w:p w14:paraId="446E5A64" w14:textId="0BCC33A6" w:rsidR="007F37CA" w:rsidRPr="003A56D2" w:rsidRDefault="00DA0EF9" w:rsidP="003D235A">
      <w:pPr>
        <w:pStyle w:val="ListParagraph"/>
        <w:widowControl w:val="0"/>
        <w:numPr>
          <w:ilvl w:val="0"/>
          <w:numId w:val="2"/>
        </w:numPr>
        <w:spacing w:after="240"/>
        <w:ind w:left="0" w:firstLine="0"/>
        <w:contextualSpacing w:val="0"/>
        <w:jc w:val="both"/>
      </w:pPr>
      <w:r>
        <w:t>Priority areas to concentrate on are: (</w:t>
      </w:r>
      <w:proofErr w:type="spellStart"/>
      <w:r>
        <w:t>i</w:t>
      </w:r>
      <w:proofErr w:type="spellEnd"/>
      <w:r>
        <w:t>) improving the efficiency of the primary market; (ii) promoting money market and interbank transaction</w:t>
      </w:r>
      <w:r w:rsidR="006636CD">
        <w:t>s through repurchase agreements;</w:t>
      </w:r>
      <w:r>
        <w:t xml:space="preserve"> (iii) developing automated clearing, settlement, and custody</w:t>
      </w:r>
      <w:r w:rsidR="00E67E46">
        <w:t xml:space="preserve"> facilities</w:t>
      </w:r>
      <w:r>
        <w:t xml:space="preserve">; (iv) </w:t>
      </w:r>
      <w:r w:rsidR="006636CD">
        <w:t xml:space="preserve">establishing </w:t>
      </w:r>
      <w:r>
        <w:t>bond market code</w:t>
      </w:r>
      <w:r w:rsidR="00F86448">
        <w:t xml:space="preserve"> of conduct and conventions</w:t>
      </w:r>
      <w:r w:rsidR="001D597E">
        <w:t xml:space="preserve"> and introducing effective oversight by the BPNG</w:t>
      </w:r>
      <w:r w:rsidR="00F86448">
        <w:t>;</w:t>
      </w:r>
      <w:r>
        <w:t xml:space="preserve"> (v)</w:t>
      </w:r>
      <w:r w:rsidR="00F86448">
        <w:t xml:space="preserve"> </w:t>
      </w:r>
      <w:r w:rsidR="006636CD">
        <w:t>engag</w:t>
      </w:r>
      <w:r w:rsidR="001D597E">
        <w:t>ing</w:t>
      </w:r>
      <w:r w:rsidR="006636CD">
        <w:t xml:space="preserve"> in </w:t>
      </w:r>
      <w:r w:rsidR="00F86448">
        <w:t>market dialogue and coordination amongst fiscal, monetary,</w:t>
      </w:r>
      <w:r w:rsidR="006636CD">
        <w:t xml:space="preserve"> regulatory authorities and </w:t>
      </w:r>
      <w:r w:rsidR="00F86448">
        <w:t xml:space="preserve">market participants; and (vi) </w:t>
      </w:r>
      <w:r w:rsidR="001D597E">
        <w:t xml:space="preserve">developing and maintaining </w:t>
      </w:r>
      <w:r w:rsidR="00F86448">
        <w:t>a centralized source for bond market information and data. These sets of preconditions will serve the medium-term development of a diversified investor base and a liquid and efficient secondary market, with realistic expectations.</w:t>
      </w:r>
    </w:p>
    <w:p w14:paraId="588E7EF3" w14:textId="77777777" w:rsidR="00AE4DD6" w:rsidRPr="003F04B9" w:rsidRDefault="005A67B4" w:rsidP="00A0060E">
      <w:pPr>
        <w:widowControl w:val="0"/>
        <w:spacing w:after="240"/>
        <w:jc w:val="center"/>
        <w:rPr>
          <w:rFonts w:cs="Times New Roman"/>
          <w:b/>
          <w:noProof/>
          <w:sz w:val="28"/>
          <w:szCs w:val="28"/>
        </w:rPr>
      </w:pPr>
      <w:r w:rsidRPr="003F04B9">
        <w:rPr>
          <w:rFonts w:cs="Times New Roman"/>
          <w:b/>
          <w:noProof/>
          <w:sz w:val="28"/>
          <w:szCs w:val="28"/>
        </w:rPr>
        <w:t>III. PNG</w:t>
      </w:r>
      <w:r w:rsidR="00AE4DD6" w:rsidRPr="003F04B9">
        <w:rPr>
          <w:rFonts w:cs="Times New Roman"/>
          <w:b/>
          <w:noProof/>
          <w:sz w:val="28"/>
          <w:szCs w:val="28"/>
        </w:rPr>
        <w:t xml:space="preserve"> Government Secutities &amp; Capital Markets</w:t>
      </w:r>
    </w:p>
    <w:p w14:paraId="6DA91B33" w14:textId="77777777" w:rsidR="00AE4DD6" w:rsidRPr="00A0060E" w:rsidRDefault="005A67B4" w:rsidP="00AE4DD6">
      <w:pPr>
        <w:widowControl w:val="0"/>
        <w:spacing w:after="240"/>
        <w:jc w:val="center"/>
        <w:rPr>
          <w:b/>
          <w:noProof/>
        </w:rPr>
      </w:pPr>
      <w:r w:rsidRPr="003F04B9">
        <w:rPr>
          <w:rFonts w:cs="Times New Roman"/>
          <w:b/>
          <w:noProof/>
        </w:rPr>
        <w:t xml:space="preserve">A. </w:t>
      </w:r>
      <w:r w:rsidR="007221EF" w:rsidRPr="003F04B9">
        <w:rPr>
          <w:rFonts w:cs="Times New Roman"/>
          <w:b/>
          <w:noProof/>
        </w:rPr>
        <w:t>Public Debt Portfolio</w:t>
      </w:r>
    </w:p>
    <w:p w14:paraId="7DB4DC28" w14:textId="2AAD8847" w:rsidR="00AD187D" w:rsidRDefault="005C4750" w:rsidP="00AD187D">
      <w:pPr>
        <w:pStyle w:val="ListParagraph"/>
        <w:widowControl w:val="0"/>
        <w:numPr>
          <w:ilvl w:val="0"/>
          <w:numId w:val="2"/>
        </w:numPr>
        <w:spacing w:after="240"/>
        <w:ind w:left="0" w:firstLine="0"/>
        <w:contextualSpacing w:val="0"/>
        <w:jc w:val="both"/>
        <w:rPr>
          <w:rFonts w:cs="Times New Roman"/>
        </w:rPr>
      </w:pPr>
      <w:r w:rsidRPr="00FC36D4">
        <w:rPr>
          <w:rFonts w:cs="Times New Roman"/>
        </w:rPr>
        <w:t xml:space="preserve">PNG’s overall stock of </w:t>
      </w:r>
      <w:r w:rsidR="00C64933" w:rsidRPr="00FC36D4">
        <w:rPr>
          <w:rFonts w:cs="Times New Roman"/>
        </w:rPr>
        <w:t xml:space="preserve">Kina denominated </w:t>
      </w:r>
      <w:r w:rsidRPr="00FC36D4">
        <w:rPr>
          <w:rFonts w:cs="Times New Roman"/>
        </w:rPr>
        <w:t>public d</w:t>
      </w:r>
      <w:r w:rsidR="00883288" w:rsidRPr="00FC36D4">
        <w:rPr>
          <w:rFonts w:cs="Times New Roman"/>
        </w:rPr>
        <w:t>ebt</w:t>
      </w:r>
      <w:r w:rsidR="00EB5F21" w:rsidRPr="00FC36D4">
        <w:rPr>
          <w:rFonts w:cs="Times New Roman"/>
        </w:rPr>
        <w:t xml:space="preserve"> stood at </w:t>
      </w:r>
      <w:r w:rsidR="00AD187D">
        <w:rPr>
          <w:rFonts w:cs="Times New Roman"/>
        </w:rPr>
        <w:t>35.5</w:t>
      </w:r>
      <w:r w:rsidR="000C16B5" w:rsidRPr="000C16B5">
        <w:rPr>
          <w:rFonts w:cs="Times New Roman"/>
        </w:rPr>
        <w:t>%</w:t>
      </w:r>
      <w:r w:rsidR="00AD187D">
        <w:rPr>
          <w:rFonts w:cs="Times New Roman"/>
        </w:rPr>
        <w:t xml:space="preserve"> of GDP at the end of 2014</w:t>
      </w:r>
      <w:r w:rsidRPr="00FC36D4">
        <w:rPr>
          <w:rFonts w:cs="Times New Roman"/>
        </w:rPr>
        <w:t>.</w:t>
      </w:r>
      <w:r w:rsidRPr="00174A65">
        <w:rPr>
          <w:rFonts w:cs="Times New Roman"/>
          <w:b/>
        </w:rPr>
        <w:t xml:space="preserve"> </w:t>
      </w:r>
      <w:r>
        <w:rPr>
          <w:rFonts w:cs="Times New Roman"/>
        </w:rPr>
        <w:t>The volume o</w:t>
      </w:r>
      <w:r w:rsidR="00BC087E">
        <w:rPr>
          <w:rFonts w:cs="Times New Roman"/>
        </w:rPr>
        <w:t xml:space="preserve">f </w:t>
      </w:r>
      <w:r w:rsidR="00CC7495">
        <w:rPr>
          <w:rFonts w:cs="Times New Roman"/>
        </w:rPr>
        <w:t xml:space="preserve">total </w:t>
      </w:r>
      <w:r w:rsidR="00BC087E">
        <w:rPr>
          <w:rFonts w:cs="Times New Roman"/>
        </w:rPr>
        <w:t xml:space="preserve">indebtedness has </w:t>
      </w:r>
      <w:r w:rsidR="00CC7495">
        <w:rPr>
          <w:rFonts w:cs="Times New Roman"/>
        </w:rPr>
        <w:t>risen by</w:t>
      </w:r>
      <w:r w:rsidR="00BC087E">
        <w:rPr>
          <w:rFonts w:cs="Times New Roman"/>
        </w:rPr>
        <w:t xml:space="preserve"> </w:t>
      </w:r>
      <w:r w:rsidR="00341A40">
        <w:rPr>
          <w:rFonts w:cs="Times New Roman"/>
        </w:rPr>
        <w:t>PG</w:t>
      </w:r>
      <w:r w:rsidR="00AD187D">
        <w:rPr>
          <w:rFonts w:cs="Times New Roman"/>
        </w:rPr>
        <w:t>K 8,785.4mm</w:t>
      </w:r>
      <w:r w:rsidR="00E0299A">
        <w:rPr>
          <w:rFonts w:cs="Times New Roman"/>
        </w:rPr>
        <w:t xml:space="preserve"> or roughly a</w:t>
      </w:r>
      <w:r>
        <w:rPr>
          <w:rFonts w:cs="Times New Roman"/>
        </w:rPr>
        <w:t xml:space="preserve"> </w:t>
      </w:r>
      <w:r w:rsidR="00AD187D">
        <w:rPr>
          <w:rFonts w:cs="Times New Roman"/>
        </w:rPr>
        <w:t>57</w:t>
      </w:r>
      <w:r>
        <w:rPr>
          <w:rFonts w:cs="Times New Roman"/>
        </w:rPr>
        <w:t>% increa</w:t>
      </w:r>
      <w:r w:rsidR="00AD187D">
        <w:rPr>
          <w:rFonts w:cs="Times New Roman"/>
        </w:rPr>
        <w:t>se of total debt during the 2010</w:t>
      </w:r>
      <w:r>
        <w:rPr>
          <w:rFonts w:cs="Times New Roman"/>
        </w:rPr>
        <w:t xml:space="preserve"> to 2</w:t>
      </w:r>
      <w:r w:rsidR="00AD187D">
        <w:rPr>
          <w:rFonts w:cs="Times New Roman"/>
        </w:rPr>
        <w:t>014</w:t>
      </w:r>
      <w:r w:rsidR="00C64933">
        <w:rPr>
          <w:rFonts w:cs="Times New Roman"/>
        </w:rPr>
        <w:t xml:space="preserve"> period</w:t>
      </w:r>
      <w:r>
        <w:rPr>
          <w:rFonts w:cs="Times New Roman"/>
        </w:rPr>
        <w:t xml:space="preserve">. </w:t>
      </w:r>
      <w:r w:rsidR="009D0F64">
        <w:rPr>
          <w:rFonts w:cs="Times New Roman"/>
        </w:rPr>
        <w:t xml:space="preserve">The significant </w:t>
      </w:r>
      <w:r w:rsidR="00BC087E">
        <w:rPr>
          <w:rFonts w:cs="Times New Roman"/>
        </w:rPr>
        <w:t>increase in overal</w:t>
      </w:r>
      <w:r w:rsidR="00E0299A">
        <w:rPr>
          <w:rFonts w:cs="Times New Roman"/>
        </w:rPr>
        <w:t>l</w:t>
      </w:r>
      <w:r w:rsidR="00AD187D">
        <w:rPr>
          <w:rFonts w:cs="Times New Roman"/>
        </w:rPr>
        <w:t xml:space="preserve"> indebtedness occurred in 2013 and 2014.</w:t>
      </w:r>
    </w:p>
    <w:p w14:paraId="6634B233" w14:textId="1E6ED768" w:rsidR="00144D44" w:rsidRPr="00AD187D" w:rsidRDefault="00BF1777" w:rsidP="00AD187D">
      <w:pPr>
        <w:pStyle w:val="ListParagraph"/>
        <w:widowControl w:val="0"/>
        <w:spacing w:after="240"/>
        <w:ind w:left="0"/>
        <w:contextualSpacing w:val="0"/>
        <w:jc w:val="both"/>
        <w:rPr>
          <w:rFonts w:cs="Times New Roman"/>
        </w:rPr>
      </w:pPr>
      <w:r w:rsidRPr="00AD187D">
        <w:rPr>
          <w:rFonts w:cs="Times New Roman"/>
          <w:b/>
          <w:u w:val="single"/>
        </w:rPr>
        <w:t xml:space="preserve">Table 1: </w:t>
      </w:r>
      <w:r w:rsidR="00642311" w:rsidRPr="00AD187D">
        <w:rPr>
          <w:rFonts w:cs="Times New Roman"/>
          <w:b/>
          <w:u w:val="single"/>
        </w:rPr>
        <w:t>Public Debt Stock</w:t>
      </w:r>
    </w:p>
    <w:tbl>
      <w:tblPr>
        <w:tblW w:w="8976" w:type="dxa"/>
        <w:jc w:val="center"/>
        <w:tblInd w:w="767" w:type="dxa"/>
        <w:tblLook w:val="04A0" w:firstRow="1" w:lastRow="0" w:firstColumn="1" w:lastColumn="0" w:noHBand="0" w:noVBand="1"/>
      </w:tblPr>
      <w:tblGrid>
        <w:gridCol w:w="2626"/>
        <w:gridCol w:w="1300"/>
        <w:gridCol w:w="1300"/>
        <w:gridCol w:w="1300"/>
        <w:gridCol w:w="1300"/>
        <w:gridCol w:w="1150"/>
      </w:tblGrid>
      <w:tr w:rsidR="00144D44" w:rsidRPr="002F685A" w14:paraId="18BB15CE" w14:textId="77777777" w:rsidTr="00AD187D">
        <w:trPr>
          <w:trHeight w:val="300"/>
          <w:jc w:val="center"/>
        </w:trPr>
        <w:tc>
          <w:tcPr>
            <w:tcW w:w="2626" w:type="dxa"/>
            <w:tcBorders>
              <w:top w:val="single" w:sz="4" w:space="0" w:color="auto"/>
              <w:left w:val="single" w:sz="4" w:space="0" w:color="auto"/>
              <w:bottom w:val="single" w:sz="4" w:space="0" w:color="auto"/>
              <w:right w:val="nil"/>
            </w:tcBorders>
            <w:shd w:val="clear" w:color="auto" w:fill="auto"/>
            <w:noWrap/>
            <w:vAlign w:val="bottom"/>
            <w:hideMark/>
          </w:tcPr>
          <w:p w14:paraId="4195C1AD" w14:textId="77777777" w:rsidR="00144D44" w:rsidRPr="00AD187D" w:rsidRDefault="00144D44" w:rsidP="00AD187D">
            <w:pPr>
              <w:rPr>
                <w:rFonts w:eastAsia="Times New Roman" w:cs="Times New Roman"/>
                <w:color w:val="000000"/>
                <w:sz w:val="22"/>
                <w:szCs w:val="22"/>
                <w:lang w:eastAsia="en-US"/>
              </w:rPr>
            </w:pPr>
            <w:r w:rsidRPr="00AD187D">
              <w:rPr>
                <w:rFonts w:eastAsia="Times New Roman" w:cs="Times New Roman"/>
                <w:color w:val="000000"/>
                <w:sz w:val="22"/>
                <w:szCs w:val="22"/>
                <w:lang w:eastAsia="en-US"/>
              </w:rPr>
              <w:t>In million Kina</w:t>
            </w:r>
          </w:p>
        </w:tc>
        <w:tc>
          <w:tcPr>
            <w:tcW w:w="1300" w:type="dxa"/>
            <w:tcBorders>
              <w:top w:val="single" w:sz="4" w:space="0" w:color="auto"/>
              <w:left w:val="nil"/>
              <w:bottom w:val="single" w:sz="4" w:space="0" w:color="auto"/>
              <w:right w:val="nil"/>
            </w:tcBorders>
            <w:shd w:val="clear" w:color="auto" w:fill="auto"/>
            <w:noWrap/>
            <w:vAlign w:val="bottom"/>
            <w:hideMark/>
          </w:tcPr>
          <w:p w14:paraId="2933F17A"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2010</w:t>
            </w:r>
          </w:p>
        </w:tc>
        <w:tc>
          <w:tcPr>
            <w:tcW w:w="1300" w:type="dxa"/>
            <w:tcBorders>
              <w:top w:val="single" w:sz="4" w:space="0" w:color="auto"/>
              <w:left w:val="nil"/>
              <w:bottom w:val="single" w:sz="4" w:space="0" w:color="auto"/>
              <w:right w:val="nil"/>
            </w:tcBorders>
            <w:shd w:val="clear" w:color="auto" w:fill="auto"/>
            <w:noWrap/>
            <w:vAlign w:val="bottom"/>
            <w:hideMark/>
          </w:tcPr>
          <w:p w14:paraId="48C390D0"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2011</w:t>
            </w:r>
          </w:p>
        </w:tc>
        <w:tc>
          <w:tcPr>
            <w:tcW w:w="1300" w:type="dxa"/>
            <w:tcBorders>
              <w:top w:val="single" w:sz="4" w:space="0" w:color="auto"/>
              <w:left w:val="nil"/>
              <w:bottom w:val="single" w:sz="4" w:space="0" w:color="auto"/>
              <w:right w:val="nil"/>
            </w:tcBorders>
            <w:shd w:val="clear" w:color="auto" w:fill="auto"/>
            <w:noWrap/>
            <w:vAlign w:val="bottom"/>
            <w:hideMark/>
          </w:tcPr>
          <w:p w14:paraId="11975DF2"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2012</w:t>
            </w:r>
          </w:p>
        </w:tc>
        <w:tc>
          <w:tcPr>
            <w:tcW w:w="1300" w:type="dxa"/>
            <w:tcBorders>
              <w:top w:val="single" w:sz="4" w:space="0" w:color="auto"/>
              <w:left w:val="nil"/>
              <w:bottom w:val="single" w:sz="4" w:space="0" w:color="auto"/>
              <w:right w:val="nil"/>
            </w:tcBorders>
            <w:shd w:val="clear" w:color="auto" w:fill="auto"/>
            <w:noWrap/>
            <w:vAlign w:val="bottom"/>
            <w:hideMark/>
          </w:tcPr>
          <w:p w14:paraId="76FBD358"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2013</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35E7CD48"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2014</w:t>
            </w:r>
          </w:p>
        </w:tc>
      </w:tr>
      <w:tr w:rsidR="00144D44" w:rsidRPr="002F685A" w14:paraId="4FDB66C8" w14:textId="77777777" w:rsidTr="00AD187D">
        <w:trPr>
          <w:trHeight w:val="300"/>
          <w:jc w:val="center"/>
        </w:trPr>
        <w:tc>
          <w:tcPr>
            <w:tcW w:w="2626" w:type="dxa"/>
            <w:tcBorders>
              <w:top w:val="nil"/>
              <w:left w:val="single" w:sz="4" w:space="0" w:color="auto"/>
              <w:bottom w:val="nil"/>
              <w:right w:val="nil"/>
            </w:tcBorders>
            <w:shd w:val="clear" w:color="auto" w:fill="auto"/>
            <w:noWrap/>
            <w:vAlign w:val="bottom"/>
            <w:hideMark/>
          </w:tcPr>
          <w:p w14:paraId="5C4040B9" w14:textId="77777777" w:rsidR="00144D44" w:rsidRPr="00AD187D" w:rsidRDefault="00144D44" w:rsidP="00AD187D">
            <w:pPr>
              <w:rPr>
                <w:rFonts w:eastAsia="Times New Roman" w:cs="Times New Roman"/>
                <w:color w:val="000000"/>
                <w:sz w:val="22"/>
                <w:szCs w:val="22"/>
                <w:lang w:eastAsia="en-US"/>
              </w:rPr>
            </w:pPr>
            <w:r w:rsidRPr="00AD187D">
              <w:rPr>
                <w:rFonts w:eastAsia="Times New Roman" w:cs="Times New Roman"/>
                <w:color w:val="000000"/>
                <w:sz w:val="22"/>
                <w:szCs w:val="22"/>
                <w:lang w:eastAsia="en-US"/>
              </w:rPr>
              <w:t>T-bill</w:t>
            </w:r>
          </w:p>
        </w:tc>
        <w:tc>
          <w:tcPr>
            <w:tcW w:w="1300" w:type="dxa"/>
            <w:tcBorders>
              <w:top w:val="nil"/>
              <w:left w:val="nil"/>
              <w:bottom w:val="nil"/>
              <w:right w:val="nil"/>
            </w:tcBorders>
            <w:shd w:val="clear" w:color="auto" w:fill="auto"/>
            <w:noWrap/>
            <w:vAlign w:val="bottom"/>
            <w:hideMark/>
          </w:tcPr>
          <w:p w14:paraId="27FFDE96"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1558.2</w:t>
            </w:r>
          </w:p>
        </w:tc>
        <w:tc>
          <w:tcPr>
            <w:tcW w:w="1300" w:type="dxa"/>
            <w:tcBorders>
              <w:top w:val="nil"/>
              <w:left w:val="nil"/>
              <w:bottom w:val="nil"/>
              <w:right w:val="nil"/>
            </w:tcBorders>
            <w:shd w:val="clear" w:color="auto" w:fill="auto"/>
            <w:noWrap/>
            <w:vAlign w:val="bottom"/>
            <w:hideMark/>
          </w:tcPr>
          <w:p w14:paraId="1E0AF11E"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2254.5</w:t>
            </w:r>
          </w:p>
        </w:tc>
        <w:tc>
          <w:tcPr>
            <w:tcW w:w="1300" w:type="dxa"/>
            <w:tcBorders>
              <w:top w:val="nil"/>
              <w:left w:val="nil"/>
              <w:bottom w:val="nil"/>
              <w:right w:val="nil"/>
            </w:tcBorders>
            <w:shd w:val="clear" w:color="auto" w:fill="auto"/>
            <w:noWrap/>
            <w:vAlign w:val="bottom"/>
            <w:hideMark/>
          </w:tcPr>
          <w:p w14:paraId="24D0D076"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2751.6</w:t>
            </w:r>
          </w:p>
        </w:tc>
        <w:tc>
          <w:tcPr>
            <w:tcW w:w="1300" w:type="dxa"/>
            <w:tcBorders>
              <w:top w:val="nil"/>
              <w:left w:val="nil"/>
              <w:bottom w:val="nil"/>
              <w:right w:val="nil"/>
            </w:tcBorders>
            <w:shd w:val="clear" w:color="auto" w:fill="auto"/>
            <w:noWrap/>
            <w:vAlign w:val="bottom"/>
            <w:hideMark/>
          </w:tcPr>
          <w:p w14:paraId="79D9FA0F"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4200.7</w:t>
            </w:r>
          </w:p>
        </w:tc>
        <w:tc>
          <w:tcPr>
            <w:tcW w:w="1150" w:type="dxa"/>
            <w:tcBorders>
              <w:top w:val="nil"/>
              <w:left w:val="nil"/>
              <w:bottom w:val="nil"/>
              <w:right w:val="single" w:sz="4" w:space="0" w:color="auto"/>
            </w:tcBorders>
            <w:shd w:val="clear" w:color="auto" w:fill="auto"/>
            <w:noWrap/>
            <w:vAlign w:val="bottom"/>
            <w:hideMark/>
          </w:tcPr>
          <w:p w14:paraId="3A5AFE52"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5620.6</w:t>
            </w:r>
          </w:p>
        </w:tc>
      </w:tr>
      <w:tr w:rsidR="00144D44" w:rsidRPr="002F685A" w14:paraId="7FFB456C" w14:textId="77777777" w:rsidTr="00AD187D">
        <w:trPr>
          <w:trHeight w:val="300"/>
          <w:jc w:val="center"/>
        </w:trPr>
        <w:tc>
          <w:tcPr>
            <w:tcW w:w="2626" w:type="dxa"/>
            <w:tcBorders>
              <w:top w:val="nil"/>
              <w:left w:val="single" w:sz="4" w:space="0" w:color="auto"/>
              <w:bottom w:val="nil"/>
              <w:right w:val="nil"/>
            </w:tcBorders>
            <w:shd w:val="clear" w:color="auto" w:fill="auto"/>
            <w:noWrap/>
            <w:vAlign w:val="bottom"/>
            <w:hideMark/>
          </w:tcPr>
          <w:p w14:paraId="2F02DC13" w14:textId="77777777" w:rsidR="00144D44" w:rsidRPr="00AD187D" w:rsidRDefault="00144D44" w:rsidP="00AD187D">
            <w:pPr>
              <w:rPr>
                <w:rFonts w:eastAsia="Times New Roman" w:cs="Times New Roman"/>
                <w:color w:val="000000"/>
                <w:sz w:val="22"/>
                <w:szCs w:val="22"/>
                <w:lang w:eastAsia="en-US"/>
              </w:rPr>
            </w:pPr>
            <w:r w:rsidRPr="00AD187D">
              <w:rPr>
                <w:rFonts w:eastAsia="Times New Roman" w:cs="Times New Roman"/>
                <w:color w:val="000000"/>
                <w:sz w:val="22"/>
                <w:szCs w:val="22"/>
                <w:lang w:eastAsia="en-US"/>
              </w:rPr>
              <w:t>Inscribed Stock</w:t>
            </w:r>
          </w:p>
        </w:tc>
        <w:tc>
          <w:tcPr>
            <w:tcW w:w="1300" w:type="dxa"/>
            <w:tcBorders>
              <w:top w:val="nil"/>
              <w:left w:val="nil"/>
              <w:bottom w:val="nil"/>
              <w:right w:val="nil"/>
            </w:tcBorders>
            <w:shd w:val="clear" w:color="auto" w:fill="auto"/>
            <w:noWrap/>
            <w:vAlign w:val="bottom"/>
            <w:hideMark/>
          </w:tcPr>
          <w:p w14:paraId="1BC1A171"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2517</w:t>
            </w:r>
          </w:p>
        </w:tc>
        <w:tc>
          <w:tcPr>
            <w:tcW w:w="1300" w:type="dxa"/>
            <w:tcBorders>
              <w:top w:val="nil"/>
              <w:left w:val="nil"/>
              <w:bottom w:val="nil"/>
              <w:right w:val="nil"/>
            </w:tcBorders>
            <w:shd w:val="clear" w:color="auto" w:fill="auto"/>
            <w:noWrap/>
            <w:vAlign w:val="bottom"/>
            <w:hideMark/>
          </w:tcPr>
          <w:p w14:paraId="6E5B2C09"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2866.6</w:t>
            </w:r>
          </w:p>
        </w:tc>
        <w:tc>
          <w:tcPr>
            <w:tcW w:w="1300" w:type="dxa"/>
            <w:tcBorders>
              <w:top w:val="nil"/>
              <w:left w:val="nil"/>
              <w:bottom w:val="nil"/>
              <w:right w:val="nil"/>
            </w:tcBorders>
            <w:shd w:val="clear" w:color="auto" w:fill="auto"/>
            <w:noWrap/>
            <w:vAlign w:val="bottom"/>
            <w:hideMark/>
          </w:tcPr>
          <w:p w14:paraId="3AB55A1E"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3366.6</w:t>
            </w:r>
          </w:p>
        </w:tc>
        <w:tc>
          <w:tcPr>
            <w:tcW w:w="1300" w:type="dxa"/>
            <w:tcBorders>
              <w:top w:val="nil"/>
              <w:left w:val="nil"/>
              <w:bottom w:val="nil"/>
              <w:right w:val="nil"/>
            </w:tcBorders>
            <w:shd w:val="clear" w:color="auto" w:fill="auto"/>
            <w:noWrap/>
            <w:vAlign w:val="bottom"/>
            <w:hideMark/>
          </w:tcPr>
          <w:p w14:paraId="5A4F0CAF" w14:textId="3EC77BAE"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4644.</w:t>
            </w:r>
            <w:r w:rsidR="00527A41" w:rsidRPr="00AD187D">
              <w:rPr>
                <w:rFonts w:eastAsia="Times New Roman" w:cs="Times New Roman"/>
                <w:color w:val="000000"/>
                <w:sz w:val="22"/>
                <w:szCs w:val="22"/>
                <w:lang w:eastAsia="en-US"/>
              </w:rPr>
              <w:t>5</w:t>
            </w:r>
          </w:p>
        </w:tc>
        <w:tc>
          <w:tcPr>
            <w:tcW w:w="1150" w:type="dxa"/>
            <w:tcBorders>
              <w:top w:val="nil"/>
              <w:left w:val="nil"/>
              <w:bottom w:val="nil"/>
              <w:right w:val="single" w:sz="4" w:space="0" w:color="auto"/>
            </w:tcBorders>
            <w:shd w:val="clear" w:color="auto" w:fill="auto"/>
            <w:noWrap/>
            <w:vAlign w:val="bottom"/>
            <w:hideMark/>
          </w:tcPr>
          <w:p w14:paraId="25A682F9"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6207.3</w:t>
            </w:r>
          </w:p>
        </w:tc>
      </w:tr>
      <w:tr w:rsidR="00144D44" w:rsidRPr="002F685A" w14:paraId="03151537" w14:textId="77777777" w:rsidTr="00AD187D">
        <w:trPr>
          <w:trHeight w:val="300"/>
          <w:jc w:val="center"/>
        </w:trPr>
        <w:tc>
          <w:tcPr>
            <w:tcW w:w="2626" w:type="dxa"/>
            <w:tcBorders>
              <w:top w:val="nil"/>
              <w:left w:val="single" w:sz="4" w:space="0" w:color="auto"/>
              <w:bottom w:val="nil"/>
              <w:right w:val="nil"/>
            </w:tcBorders>
            <w:shd w:val="clear" w:color="auto" w:fill="auto"/>
            <w:noWrap/>
            <w:vAlign w:val="bottom"/>
            <w:hideMark/>
          </w:tcPr>
          <w:p w14:paraId="65A33E90" w14:textId="77777777" w:rsidR="00144D44" w:rsidRPr="00AD187D" w:rsidRDefault="00144D44" w:rsidP="00AD187D">
            <w:pPr>
              <w:rPr>
                <w:rFonts w:eastAsia="Times New Roman" w:cs="Times New Roman"/>
                <w:color w:val="000000"/>
                <w:sz w:val="22"/>
                <w:szCs w:val="22"/>
                <w:lang w:eastAsia="en-US"/>
              </w:rPr>
            </w:pPr>
            <w:r w:rsidRPr="00AD187D">
              <w:rPr>
                <w:rFonts w:eastAsia="Times New Roman" w:cs="Times New Roman"/>
                <w:color w:val="000000"/>
                <w:sz w:val="22"/>
                <w:szCs w:val="22"/>
                <w:lang w:eastAsia="en-US"/>
              </w:rPr>
              <w:t>Other</w:t>
            </w:r>
          </w:p>
        </w:tc>
        <w:tc>
          <w:tcPr>
            <w:tcW w:w="1300" w:type="dxa"/>
            <w:tcBorders>
              <w:top w:val="nil"/>
              <w:left w:val="nil"/>
              <w:bottom w:val="nil"/>
              <w:right w:val="nil"/>
            </w:tcBorders>
            <w:shd w:val="clear" w:color="auto" w:fill="auto"/>
            <w:noWrap/>
            <w:vAlign w:val="bottom"/>
            <w:hideMark/>
          </w:tcPr>
          <w:p w14:paraId="42A3FDBE"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2.6</w:t>
            </w:r>
          </w:p>
        </w:tc>
        <w:tc>
          <w:tcPr>
            <w:tcW w:w="1300" w:type="dxa"/>
            <w:tcBorders>
              <w:top w:val="nil"/>
              <w:left w:val="nil"/>
              <w:bottom w:val="nil"/>
              <w:right w:val="nil"/>
            </w:tcBorders>
            <w:shd w:val="clear" w:color="auto" w:fill="auto"/>
            <w:noWrap/>
            <w:vAlign w:val="bottom"/>
            <w:hideMark/>
          </w:tcPr>
          <w:p w14:paraId="284A3D4A"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0.3</w:t>
            </w:r>
          </w:p>
        </w:tc>
        <w:tc>
          <w:tcPr>
            <w:tcW w:w="1300" w:type="dxa"/>
            <w:tcBorders>
              <w:top w:val="nil"/>
              <w:left w:val="nil"/>
              <w:bottom w:val="nil"/>
              <w:right w:val="nil"/>
            </w:tcBorders>
            <w:shd w:val="clear" w:color="auto" w:fill="auto"/>
            <w:noWrap/>
            <w:vAlign w:val="bottom"/>
            <w:hideMark/>
          </w:tcPr>
          <w:p w14:paraId="431DFC80"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12.6</w:t>
            </w:r>
          </w:p>
        </w:tc>
        <w:tc>
          <w:tcPr>
            <w:tcW w:w="1300" w:type="dxa"/>
            <w:tcBorders>
              <w:top w:val="nil"/>
              <w:left w:val="nil"/>
              <w:bottom w:val="nil"/>
              <w:right w:val="nil"/>
            </w:tcBorders>
            <w:shd w:val="clear" w:color="auto" w:fill="auto"/>
            <w:noWrap/>
            <w:vAlign w:val="bottom"/>
            <w:hideMark/>
          </w:tcPr>
          <w:p w14:paraId="706C9250" w14:textId="557247FD" w:rsidR="00144D44" w:rsidRPr="00AD187D" w:rsidRDefault="00527A41"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0.0</w:t>
            </w:r>
          </w:p>
        </w:tc>
        <w:tc>
          <w:tcPr>
            <w:tcW w:w="1150" w:type="dxa"/>
            <w:tcBorders>
              <w:top w:val="nil"/>
              <w:left w:val="nil"/>
              <w:bottom w:val="nil"/>
              <w:right w:val="single" w:sz="4" w:space="0" w:color="auto"/>
            </w:tcBorders>
            <w:shd w:val="clear" w:color="auto" w:fill="auto"/>
            <w:noWrap/>
            <w:vAlign w:val="bottom"/>
            <w:hideMark/>
          </w:tcPr>
          <w:p w14:paraId="103602C6"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0.0</w:t>
            </w:r>
          </w:p>
        </w:tc>
      </w:tr>
      <w:tr w:rsidR="00144D44" w:rsidRPr="002F685A" w14:paraId="5D83A14E" w14:textId="77777777" w:rsidTr="00AD187D">
        <w:trPr>
          <w:trHeight w:val="300"/>
          <w:jc w:val="center"/>
        </w:trPr>
        <w:tc>
          <w:tcPr>
            <w:tcW w:w="2626" w:type="dxa"/>
            <w:tcBorders>
              <w:top w:val="single" w:sz="4" w:space="0" w:color="auto"/>
              <w:left w:val="single" w:sz="4" w:space="0" w:color="auto"/>
              <w:bottom w:val="single" w:sz="4" w:space="0" w:color="auto"/>
              <w:right w:val="nil"/>
            </w:tcBorders>
            <w:shd w:val="clear" w:color="auto" w:fill="auto"/>
            <w:noWrap/>
            <w:vAlign w:val="bottom"/>
            <w:hideMark/>
          </w:tcPr>
          <w:p w14:paraId="5ADB83B2" w14:textId="77777777" w:rsidR="00144D44" w:rsidRPr="00AD187D" w:rsidRDefault="00144D44" w:rsidP="00AD187D">
            <w:pPr>
              <w:rPr>
                <w:rFonts w:eastAsia="Times New Roman" w:cs="Times New Roman"/>
                <w:color w:val="000000"/>
                <w:sz w:val="22"/>
                <w:szCs w:val="22"/>
                <w:lang w:eastAsia="en-US"/>
              </w:rPr>
            </w:pPr>
            <w:r w:rsidRPr="00AD187D">
              <w:rPr>
                <w:rFonts w:eastAsia="Times New Roman" w:cs="Times New Roman"/>
                <w:color w:val="000000"/>
                <w:sz w:val="22"/>
                <w:szCs w:val="22"/>
                <w:lang w:eastAsia="en-US"/>
              </w:rPr>
              <w:t>Total Domestic Debt</w:t>
            </w:r>
          </w:p>
        </w:tc>
        <w:tc>
          <w:tcPr>
            <w:tcW w:w="1300" w:type="dxa"/>
            <w:tcBorders>
              <w:top w:val="single" w:sz="4" w:space="0" w:color="auto"/>
              <w:left w:val="nil"/>
              <w:bottom w:val="single" w:sz="4" w:space="0" w:color="auto"/>
              <w:right w:val="nil"/>
            </w:tcBorders>
            <w:shd w:val="clear" w:color="auto" w:fill="auto"/>
            <w:noWrap/>
            <w:vAlign w:val="bottom"/>
            <w:hideMark/>
          </w:tcPr>
          <w:p w14:paraId="32581DA8"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4077.8</w:t>
            </w:r>
          </w:p>
        </w:tc>
        <w:tc>
          <w:tcPr>
            <w:tcW w:w="1300" w:type="dxa"/>
            <w:tcBorders>
              <w:top w:val="single" w:sz="4" w:space="0" w:color="auto"/>
              <w:left w:val="nil"/>
              <w:bottom w:val="single" w:sz="4" w:space="0" w:color="auto"/>
              <w:right w:val="nil"/>
            </w:tcBorders>
            <w:shd w:val="clear" w:color="auto" w:fill="auto"/>
            <w:noWrap/>
            <w:vAlign w:val="bottom"/>
            <w:hideMark/>
          </w:tcPr>
          <w:p w14:paraId="79768647"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5121.4</w:t>
            </w:r>
          </w:p>
        </w:tc>
        <w:tc>
          <w:tcPr>
            <w:tcW w:w="1300" w:type="dxa"/>
            <w:tcBorders>
              <w:top w:val="single" w:sz="4" w:space="0" w:color="auto"/>
              <w:left w:val="nil"/>
              <w:bottom w:val="single" w:sz="4" w:space="0" w:color="auto"/>
              <w:right w:val="nil"/>
            </w:tcBorders>
            <w:shd w:val="clear" w:color="auto" w:fill="auto"/>
            <w:noWrap/>
            <w:vAlign w:val="bottom"/>
            <w:hideMark/>
          </w:tcPr>
          <w:p w14:paraId="530A403D"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6130.8</w:t>
            </w:r>
          </w:p>
        </w:tc>
        <w:tc>
          <w:tcPr>
            <w:tcW w:w="1300" w:type="dxa"/>
            <w:tcBorders>
              <w:top w:val="single" w:sz="4" w:space="0" w:color="auto"/>
              <w:left w:val="nil"/>
              <w:bottom w:val="single" w:sz="4" w:space="0" w:color="auto"/>
              <w:right w:val="nil"/>
            </w:tcBorders>
            <w:shd w:val="clear" w:color="auto" w:fill="auto"/>
            <w:noWrap/>
            <w:vAlign w:val="bottom"/>
            <w:hideMark/>
          </w:tcPr>
          <w:p w14:paraId="4B4F341C" w14:textId="0C4B501F" w:rsidR="00144D44" w:rsidRPr="00AD187D" w:rsidRDefault="00527A41"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8845.2</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388EE8BE"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11827.9</w:t>
            </w:r>
          </w:p>
        </w:tc>
      </w:tr>
      <w:tr w:rsidR="00144D44" w:rsidRPr="002F685A" w14:paraId="2D4A2BEC" w14:textId="77777777" w:rsidTr="00AD187D">
        <w:trPr>
          <w:trHeight w:val="300"/>
          <w:jc w:val="center"/>
        </w:trPr>
        <w:tc>
          <w:tcPr>
            <w:tcW w:w="2626" w:type="dxa"/>
            <w:tcBorders>
              <w:top w:val="nil"/>
              <w:left w:val="single" w:sz="4" w:space="0" w:color="auto"/>
              <w:bottom w:val="single" w:sz="4" w:space="0" w:color="auto"/>
              <w:right w:val="nil"/>
            </w:tcBorders>
            <w:shd w:val="clear" w:color="auto" w:fill="auto"/>
            <w:noWrap/>
            <w:vAlign w:val="bottom"/>
            <w:hideMark/>
          </w:tcPr>
          <w:p w14:paraId="1DD016D6" w14:textId="73CE6B4D" w:rsidR="00144D44" w:rsidRPr="00AD187D" w:rsidRDefault="00AD187D" w:rsidP="00AD187D">
            <w:pPr>
              <w:rPr>
                <w:rFonts w:eastAsia="Times New Roman" w:cs="Times New Roman"/>
                <w:i/>
                <w:iCs/>
                <w:color w:val="000000"/>
                <w:sz w:val="22"/>
                <w:szCs w:val="22"/>
                <w:lang w:eastAsia="en-US"/>
              </w:rPr>
            </w:pPr>
            <w:r w:rsidRPr="00AD187D">
              <w:rPr>
                <w:rFonts w:eastAsia="Times New Roman" w:cs="Times New Roman"/>
                <w:i/>
                <w:iCs/>
                <w:color w:val="000000"/>
                <w:sz w:val="22"/>
                <w:szCs w:val="22"/>
                <w:lang w:eastAsia="en-US"/>
              </w:rPr>
              <w:t>%</w:t>
            </w:r>
            <w:r w:rsidR="00144D44" w:rsidRPr="00AD187D">
              <w:rPr>
                <w:rFonts w:eastAsia="Times New Roman" w:cs="Times New Roman"/>
                <w:i/>
                <w:iCs/>
                <w:color w:val="000000"/>
                <w:sz w:val="22"/>
                <w:szCs w:val="22"/>
                <w:lang w:eastAsia="en-US"/>
              </w:rPr>
              <w:t xml:space="preserve"> </w:t>
            </w:r>
            <w:proofErr w:type="gramStart"/>
            <w:r w:rsidR="00144D44" w:rsidRPr="00AD187D">
              <w:rPr>
                <w:rFonts w:eastAsia="Times New Roman" w:cs="Times New Roman"/>
                <w:i/>
                <w:iCs/>
                <w:color w:val="000000"/>
                <w:sz w:val="22"/>
                <w:szCs w:val="22"/>
                <w:lang w:eastAsia="en-US"/>
              </w:rPr>
              <w:t>of</w:t>
            </w:r>
            <w:proofErr w:type="gramEnd"/>
            <w:r w:rsidR="00144D44" w:rsidRPr="00AD187D">
              <w:rPr>
                <w:rFonts w:eastAsia="Times New Roman" w:cs="Times New Roman"/>
                <w:i/>
                <w:iCs/>
                <w:color w:val="000000"/>
                <w:sz w:val="22"/>
                <w:szCs w:val="22"/>
                <w:lang w:eastAsia="en-US"/>
              </w:rPr>
              <w:t xml:space="preserve"> Total Debt </w:t>
            </w:r>
          </w:p>
        </w:tc>
        <w:tc>
          <w:tcPr>
            <w:tcW w:w="1300" w:type="dxa"/>
            <w:tcBorders>
              <w:top w:val="nil"/>
              <w:left w:val="nil"/>
              <w:bottom w:val="single" w:sz="4" w:space="0" w:color="auto"/>
              <w:right w:val="nil"/>
            </w:tcBorders>
            <w:shd w:val="clear" w:color="auto" w:fill="auto"/>
            <w:noWrap/>
            <w:vAlign w:val="bottom"/>
            <w:hideMark/>
          </w:tcPr>
          <w:p w14:paraId="5308DFFD" w14:textId="77777777" w:rsidR="00144D44" w:rsidRPr="00AD187D" w:rsidRDefault="00144D44" w:rsidP="00AD187D">
            <w:pPr>
              <w:jc w:val="center"/>
              <w:rPr>
                <w:rFonts w:eastAsia="Times New Roman" w:cs="Times New Roman"/>
                <w:i/>
                <w:iCs/>
                <w:color w:val="000000"/>
                <w:sz w:val="22"/>
                <w:szCs w:val="22"/>
                <w:lang w:eastAsia="en-US"/>
              </w:rPr>
            </w:pPr>
            <w:r w:rsidRPr="00AD187D">
              <w:rPr>
                <w:rFonts w:eastAsia="Times New Roman" w:cs="Times New Roman"/>
                <w:i/>
                <w:iCs/>
                <w:color w:val="000000"/>
                <w:sz w:val="22"/>
                <w:szCs w:val="22"/>
                <w:lang w:eastAsia="en-US"/>
              </w:rPr>
              <w:t>62%</w:t>
            </w:r>
          </w:p>
        </w:tc>
        <w:tc>
          <w:tcPr>
            <w:tcW w:w="1300" w:type="dxa"/>
            <w:tcBorders>
              <w:top w:val="nil"/>
              <w:left w:val="nil"/>
              <w:bottom w:val="single" w:sz="4" w:space="0" w:color="auto"/>
              <w:right w:val="nil"/>
            </w:tcBorders>
            <w:shd w:val="clear" w:color="auto" w:fill="auto"/>
            <w:noWrap/>
            <w:vAlign w:val="bottom"/>
            <w:hideMark/>
          </w:tcPr>
          <w:p w14:paraId="1685DB5B" w14:textId="77777777" w:rsidR="00144D44" w:rsidRPr="00AD187D" w:rsidRDefault="00144D44" w:rsidP="00AD187D">
            <w:pPr>
              <w:jc w:val="center"/>
              <w:rPr>
                <w:rFonts w:eastAsia="Times New Roman" w:cs="Times New Roman"/>
                <w:i/>
                <w:iCs/>
                <w:color w:val="000000"/>
                <w:sz w:val="22"/>
                <w:szCs w:val="22"/>
                <w:lang w:eastAsia="en-US"/>
              </w:rPr>
            </w:pPr>
            <w:r w:rsidRPr="00AD187D">
              <w:rPr>
                <w:rFonts w:eastAsia="Times New Roman" w:cs="Times New Roman"/>
                <w:i/>
                <w:iCs/>
                <w:color w:val="000000"/>
                <w:sz w:val="22"/>
                <w:szCs w:val="22"/>
                <w:lang w:eastAsia="en-US"/>
              </w:rPr>
              <w:t>71%</w:t>
            </w:r>
          </w:p>
        </w:tc>
        <w:tc>
          <w:tcPr>
            <w:tcW w:w="1300" w:type="dxa"/>
            <w:tcBorders>
              <w:top w:val="nil"/>
              <w:left w:val="nil"/>
              <w:bottom w:val="single" w:sz="4" w:space="0" w:color="auto"/>
              <w:right w:val="nil"/>
            </w:tcBorders>
            <w:shd w:val="clear" w:color="auto" w:fill="auto"/>
            <w:noWrap/>
            <w:vAlign w:val="bottom"/>
            <w:hideMark/>
          </w:tcPr>
          <w:p w14:paraId="283D01DC" w14:textId="77777777" w:rsidR="00144D44" w:rsidRPr="00AD187D" w:rsidRDefault="00144D44" w:rsidP="00AD187D">
            <w:pPr>
              <w:jc w:val="center"/>
              <w:rPr>
                <w:rFonts w:eastAsia="Times New Roman" w:cs="Times New Roman"/>
                <w:i/>
                <w:iCs/>
                <w:color w:val="000000"/>
                <w:sz w:val="22"/>
                <w:szCs w:val="22"/>
                <w:lang w:eastAsia="en-US"/>
              </w:rPr>
            </w:pPr>
            <w:r w:rsidRPr="00AD187D">
              <w:rPr>
                <w:rFonts w:eastAsia="Times New Roman" w:cs="Times New Roman"/>
                <w:i/>
                <w:iCs/>
                <w:color w:val="000000"/>
                <w:sz w:val="22"/>
                <w:szCs w:val="22"/>
                <w:lang w:eastAsia="en-US"/>
              </w:rPr>
              <w:t>73%</w:t>
            </w:r>
          </w:p>
        </w:tc>
        <w:tc>
          <w:tcPr>
            <w:tcW w:w="1300" w:type="dxa"/>
            <w:tcBorders>
              <w:top w:val="nil"/>
              <w:left w:val="nil"/>
              <w:bottom w:val="single" w:sz="4" w:space="0" w:color="auto"/>
              <w:right w:val="nil"/>
            </w:tcBorders>
            <w:shd w:val="clear" w:color="auto" w:fill="auto"/>
            <w:noWrap/>
            <w:vAlign w:val="bottom"/>
            <w:hideMark/>
          </w:tcPr>
          <w:p w14:paraId="477D198E" w14:textId="738CF9C7" w:rsidR="00144D44" w:rsidRPr="00AD187D" w:rsidRDefault="00527A41" w:rsidP="00AD187D">
            <w:pPr>
              <w:jc w:val="center"/>
              <w:rPr>
                <w:rFonts w:eastAsia="Times New Roman" w:cs="Times New Roman"/>
                <w:i/>
                <w:iCs/>
                <w:color w:val="000000"/>
                <w:sz w:val="22"/>
                <w:szCs w:val="22"/>
                <w:lang w:eastAsia="en-US"/>
              </w:rPr>
            </w:pPr>
            <w:r w:rsidRPr="00AD187D">
              <w:rPr>
                <w:rFonts w:eastAsia="Times New Roman" w:cs="Times New Roman"/>
                <w:i/>
                <w:iCs/>
                <w:color w:val="000000"/>
                <w:sz w:val="22"/>
                <w:szCs w:val="22"/>
                <w:lang w:eastAsia="en-US"/>
              </w:rPr>
              <w:t>75</w:t>
            </w:r>
            <w:r w:rsidR="00144D44" w:rsidRPr="00AD187D">
              <w:rPr>
                <w:rFonts w:eastAsia="Times New Roman" w:cs="Times New Roman"/>
                <w:i/>
                <w:iCs/>
                <w:color w:val="000000"/>
                <w:sz w:val="22"/>
                <w:szCs w:val="22"/>
                <w:lang w:eastAsia="en-US"/>
              </w:rPr>
              <w:t>%</w:t>
            </w:r>
          </w:p>
        </w:tc>
        <w:tc>
          <w:tcPr>
            <w:tcW w:w="1150" w:type="dxa"/>
            <w:tcBorders>
              <w:top w:val="nil"/>
              <w:left w:val="nil"/>
              <w:bottom w:val="single" w:sz="4" w:space="0" w:color="auto"/>
              <w:right w:val="single" w:sz="4" w:space="0" w:color="auto"/>
            </w:tcBorders>
            <w:shd w:val="clear" w:color="auto" w:fill="auto"/>
            <w:noWrap/>
            <w:vAlign w:val="bottom"/>
            <w:hideMark/>
          </w:tcPr>
          <w:p w14:paraId="254A451D" w14:textId="77777777" w:rsidR="00144D44" w:rsidRPr="00AD187D" w:rsidRDefault="00144D44" w:rsidP="00AD187D">
            <w:pPr>
              <w:jc w:val="center"/>
              <w:rPr>
                <w:rFonts w:eastAsia="Times New Roman" w:cs="Times New Roman"/>
                <w:i/>
                <w:iCs/>
                <w:color w:val="000000"/>
                <w:sz w:val="22"/>
                <w:szCs w:val="22"/>
                <w:lang w:eastAsia="en-US"/>
              </w:rPr>
            </w:pPr>
            <w:r w:rsidRPr="00AD187D">
              <w:rPr>
                <w:rFonts w:eastAsia="Times New Roman" w:cs="Times New Roman"/>
                <w:i/>
                <w:iCs/>
                <w:color w:val="000000"/>
                <w:sz w:val="22"/>
                <w:szCs w:val="22"/>
                <w:lang w:eastAsia="en-US"/>
              </w:rPr>
              <w:t>77%</w:t>
            </w:r>
          </w:p>
        </w:tc>
      </w:tr>
      <w:tr w:rsidR="00144D44" w:rsidRPr="002F685A" w14:paraId="45AAC74C" w14:textId="77777777" w:rsidTr="00AD187D">
        <w:trPr>
          <w:trHeight w:val="300"/>
          <w:jc w:val="center"/>
        </w:trPr>
        <w:tc>
          <w:tcPr>
            <w:tcW w:w="2626" w:type="dxa"/>
            <w:tcBorders>
              <w:top w:val="nil"/>
              <w:left w:val="single" w:sz="4" w:space="0" w:color="auto"/>
              <w:bottom w:val="nil"/>
              <w:right w:val="nil"/>
            </w:tcBorders>
            <w:shd w:val="clear" w:color="auto" w:fill="auto"/>
            <w:noWrap/>
            <w:vAlign w:val="bottom"/>
            <w:hideMark/>
          </w:tcPr>
          <w:p w14:paraId="1183D407" w14:textId="77777777" w:rsidR="00144D44" w:rsidRPr="00AD187D" w:rsidRDefault="00144D44" w:rsidP="00AD187D">
            <w:pPr>
              <w:rPr>
                <w:rFonts w:eastAsia="Times New Roman" w:cs="Times New Roman"/>
                <w:color w:val="000000"/>
                <w:sz w:val="22"/>
                <w:szCs w:val="22"/>
                <w:lang w:eastAsia="en-US"/>
              </w:rPr>
            </w:pPr>
            <w:r w:rsidRPr="00AD187D">
              <w:rPr>
                <w:rFonts w:eastAsia="Times New Roman" w:cs="Times New Roman"/>
                <w:color w:val="000000"/>
                <w:sz w:val="22"/>
                <w:szCs w:val="22"/>
                <w:lang w:eastAsia="en-US"/>
              </w:rPr>
              <w:t>Multilateral</w:t>
            </w:r>
          </w:p>
        </w:tc>
        <w:tc>
          <w:tcPr>
            <w:tcW w:w="1300" w:type="dxa"/>
            <w:tcBorders>
              <w:top w:val="nil"/>
              <w:left w:val="nil"/>
              <w:bottom w:val="nil"/>
              <w:right w:val="nil"/>
            </w:tcBorders>
            <w:shd w:val="clear" w:color="auto" w:fill="auto"/>
            <w:noWrap/>
            <w:vAlign w:val="bottom"/>
            <w:hideMark/>
          </w:tcPr>
          <w:p w14:paraId="0969DB7A"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2422.5</w:t>
            </w:r>
          </w:p>
        </w:tc>
        <w:tc>
          <w:tcPr>
            <w:tcW w:w="1300" w:type="dxa"/>
            <w:tcBorders>
              <w:top w:val="nil"/>
              <w:left w:val="nil"/>
              <w:bottom w:val="nil"/>
              <w:right w:val="nil"/>
            </w:tcBorders>
            <w:shd w:val="clear" w:color="auto" w:fill="auto"/>
            <w:noWrap/>
            <w:vAlign w:val="bottom"/>
            <w:hideMark/>
          </w:tcPr>
          <w:p w14:paraId="3D157D02"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2057.8</w:t>
            </w:r>
          </w:p>
        </w:tc>
        <w:tc>
          <w:tcPr>
            <w:tcW w:w="1300" w:type="dxa"/>
            <w:tcBorders>
              <w:top w:val="nil"/>
              <w:left w:val="nil"/>
              <w:bottom w:val="nil"/>
              <w:right w:val="nil"/>
            </w:tcBorders>
            <w:shd w:val="clear" w:color="auto" w:fill="auto"/>
            <w:noWrap/>
            <w:vAlign w:val="bottom"/>
            <w:hideMark/>
          </w:tcPr>
          <w:p w14:paraId="7C699D93"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2174.5</w:t>
            </w:r>
          </w:p>
        </w:tc>
        <w:tc>
          <w:tcPr>
            <w:tcW w:w="1300" w:type="dxa"/>
            <w:tcBorders>
              <w:top w:val="nil"/>
              <w:left w:val="nil"/>
              <w:bottom w:val="nil"/>
              <w:right w:val="nil"/>
            </w:tcBorders>
            <w:shd w:val="clear" w:color="auto" w:fill="auto"/>
            <w:noWrap/>
            <w:vAlign w:val="bottom"/>
            <w:hideMark/>
          </w:tcPr>
          <w:p w14:paraId="7ACF0729" w14:textId="41763D7F" w:rsidR="00144D44" w:rsidRPr="00AD187D" w:rsidRDefault="00527A41"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3018.4</w:t>
            </w:r>
          </w:p>
        </w:tc>
        <w:tc>
          <w:tcPr>
            <w:tcW w:w="1150" w:type="dxa"/>
            <w:tcBorders>
              <w:top w:val="nil"/>
              <w:left w:val="nil"/>
              <w:bottom w:val="nil"/>
              <w:right w:val="single" w:sz="4" w:space="0" w:color="auto"/>
            </w:tcBorders>
            <w:shd w:val="clear" w:color="auto" w:fill="auto"/>
            <w:noWrap/>
            <w:vAlign w:val="bottom"/>
            <w:hideMark/>
          </w:tcPr>
          <w:p w14:paraId="7352AC59"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3537.2</w:t>
            </w:r>
          </w:p>
        </w:tc>
      </w:tr>
      <w:tr w:rsidR="00144D44" w:rsidRPr="002F685A" w14:paraId="7D512754" w14:textId="77777777" w:rsidTr="00AD187D">
        <w:trPr>
          <w:trHeight w:val="300"/>
          <w:jc w:val="center"/>
        </w:trPr>
        <w:tc>
          <w:tcPr>
            <w:tcW w:w="2626" w:type="dxa"/>
            <w:tcBorders>
              <w:top w:val="nil"/>
              <w:left w:val="single" w:sz="4" w:space="0" w:color="auto"/>
              <w:bottom w:val="nil"/>
              <w:right w:val="nil"/>
            </w:tcBorders>
            <w:shd w:val="clear" w:color="auto" w:fill="auto"/>
            <w:noWrap/>
            <w:vAlign w:val="bottom"/>
            <w:hideMark/>
          </w:tcPr>
          <w:p w14:paraId="43AC76EA" w14:textId="77777777" w:rsidR="00144D44" w:rsidRPr="00AD187D" w:rsidRDefault="00144D44" w:rsidP="00AD187D">
            <w:pPr>
              <w:rPr>
                <w:rFonts w:eastAsia="Times New Roman" w:cs="Times New Roman"/>
                <w:color w:val="000000"/>
                <w:sz w:val="22"/>
                <w:szCs w:val="22"/>
                <w:lang w:eastAsia="en-US"/>
              </w:rPr>
            </w:pPr>
            <w:r w:rsidRPr="00AD187D">
              <w:rPr>
                <w:rFonts w:eastAsia="Times New Roman" w:cs="Times New Roman"/>
                <w:color w:val="000000"/>
                <w:sz w:val="22"/>
                <w:szCs w:val="22"/>
                <w:lang w:eastAsia="en-US"/>
              </w:rPr>
              <w:lastRenderedPageBreak/>
              <w:t>Commercial Debt</w:t>
            </w:r>
          </w:p>
        </w:tc>
        <w:tc>
          <w:tcPr>
            <w:tcW w:w="1300" w:type="dxa"/>
            <w:tcBorders>
              <w:top w:val="nil"/>
              <w:left w:val="nil"/>
              <w:bottom w:val="nil"/>
              <w:right w:val="nil"/>
            </w:tcBorders>
            <w:shd w:val="clear" w:color="auto" w:fill="auto"/>
            <w:noWrap/>
            <w:vAlign w:val="bottom"/>
            <w:hideMark/>
          </w:tcPr>
          <w:p w14:paraId="4A5AD3B6"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79.4</w:t>
            </w:r>
          </w:p>
        </w:tc>
        <w:tc>
          <w:tcPr>
            <w:tcW w:w="1300" w:type="dxa"/>
            <w:tcBorders>
              <w:top w:val="nil"/>
              <w:left w:val="nil"/>
              <w:bottom w:val="nil"/>
              <w:right w:val="nil"/>
            </w:tcBorders>
            <w:shd w:val="clear" w:color="auto" w:fill="auto"/>
            <w:noWrap/>
            <w:vAlign w:val="bottom"/>
            <w:hideMark/>
          </w:tcPr>
          <w:p w14:paraId="1978CBC1"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59.2</w:t>
            </w:r>
          </w:p>
        </w:tc>
        <w:tc>
          <w:tcPr>
            <w:tcW w:w="1300" w:type="dxa"/>
            <w:tcBorders>
              <w:top w:val="nil"/>
              <w:left w:val="nil"/>
              <w:bottom w:val="nil"/>
              <w:right w:val="nil"/>
            </w:tcBorders>
            <w:shd w:val="clear" w:color="auto" w:fill="auto"/>
            <w:noWrap/>
            <w:vAlign w:val="bottom"/>
            <w:hideMark/>
          </w:tcPr>
          <w:p w14:paraId="4A2D6E66"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44.8</w:t>
            </w:r>
          </w:p>
        </w:tc>
        <w:tc>
          <w:tcPr>
            <w:tcW w:w="1300" w:type="dxa"/>
            <w:tcBorders>
              <w:top w:val="nil"/>
              <w:left w:val="nil"/>
              <w:bottom w:val="nil"/>
              <w:right w:val="nil"/>
            </w:tcBorders>
            <w:shd w:val="clear" w:color="auto" w:fill="auto"/>
            <w:noWrap/>
            <w:vAlign w:val="bottom"/>
            <w:hideMark/>
          </w:tcPr>
          <w:p w14:paraId="4BF11D3D" w14:textId="6DCFABC8" w:rsidR="00144D44" w:rsidRPr="00AD187D" w:rsidRDefault="00527A41"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14.1</w:t>
            </w:r>
          </w:p>
        </w:tc>
        <w:tc>
          <w:tcPr>
            <w:tcW w:w="1150" w:type="dxa"/>
            <w:tcBorders>
              <w:top w:val="nil"/>
              <w:left w:val="nil"/>
              <w:bottom w:val="nil"/>
              <w:right w:val="single" w:sz="4" w:space="0" w:color="auto"/>
            </w:tcBorders>
            <w:shd w:val="clear" w:color="auto" w:fill="auto"/>
            <w:noWrap/>
            <w:vAlign w:val="bottom"/>
            <w:hideMark/>
          </w:tcPr>
          <w:p w14:paraId="7BFB935C"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0.0</w:t>
            </w:r>
          </w:p>
        </w:tc>
      </w:tr>
      <w:tr w:rsidR="00144D44" w:rsidRPr="002F685A" w14:paraId="077DCB21" w14:textId="77777777" w:rsidTr="00AD187D">
        <w:trPr>
          <w:trHeight w:val="300"/>
          <w:jc w:val="center"/>
        </w:trPr>
        <w:tc>
          <w:tcPr>
            <w:tcW w:w="2626" w:type="dxa"/>
            <w:tcBorders>
              <w:top w:val="single" w:sz="4" w:space="0" w:color="auto"/>
              <w:left w:val="single" w:sz="4" w:space="0" w:color="auto"/>
              <w:bottom w:val="single" w:sz="4" w:space="0" w:color="auto"/>
              <w:right w:val="nil"/>
            </w:tcBorders>
            <w:shd w:val="clear" w:color="auto" w:fill="auto"/>
            <w:noWrap/>
            <w:vAlign w:val="bottom"/>
            <w:hideMark/>
          </w:tcPr>
          <w:p w14:paraId="2D5ECBE9" w14:textId="77777777" w:rsidR="00144D44" w:rsidRPr="00AD187D" w:rsidRDefault="00144D44" w:rsidP="00AD187D">
            <w:pPr>
              <w:rPr>
                <w:rFonts w:eastAsia="Times New Roman" w:cs="Times New Roman"/>
                <w:color w:val="000000"/>
                <w:sz w:val="22"/>
                <w:szCs w:val="22"/>
                <w:lang w:eastAsia="en-US"/>
              </w:rPr>
            </w:pPr>
            <w:r w:rsidRPr="00AD187D">
              <w:rPr>
                <w:rFonts w:eastAsia="Times New Roman" w:cs="Times New Roman"/>
                <w:color w:val="000000"/>
                <w:sz w:val="22"/>
                <w:szCs w:val="22"/>
                <w:lang w:eastAsia="en-US"/>
              </w:rPr>
              <w:t>Total External Debt</w:t>
            </w:r>
          </w:p>
        </w:tc>
        <w:tc>
          <w:tcPr>
            <w:tcW w:w="1300" w:type="dxa"/>
            <w:tcBorders>
              <w:top w:val="single" w:sz="4" w:space="0" w:color="auto"/>
              <w:left w:val="nil"/>
              <w:bottom w:val="single" w:sz="4" w:space="0" w:color="auto"/>
              <w:right w:val="nil"/>
            </w:tcBorders>
            <w:shd w:val="clear" w:color="auto" w:fill="auto"/>
            <w:noWrap/>
            <w:vAlign w:val="bottom"/>
            <w:hideMark/>
          </w:tcPr>
          <w:p w14:paraId="28C17001"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2501.9</w:t>
            </w:r>
          </w:p>
        </w:tc>
        <w:tc>
          <w:tcPr>
            <w:tcW w:w="1300" w:type="dxa"/>
            <w:tcBorders>
              <w:top w:val="single" w:sz="4" w:space="0" w:color="auto"/>
              <w:left w:val="nil"/>
              <w:bottom w:val="single" w:sz="4" w:space="0" w:color="auto"/>
              <w:right w:val="nil"/>
            </w:tcBorders>
            <w:shd w:val="clear" w:color="auto" w:fill="auto"/>
            <w:noWrap/>
            <w:vAlign w:val="bottom"/>
            <w:hideMark/>
          </w:tcPr>
          <w:p w14:paraId="1FF29F59"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2117</w:t>
            </w:r>
          </w:p>
        </w:tc>
        <w:tc>
          <w:tcPr>
            <w:tcW w:w="1300" w:type="dxa"/>
            <w:tcBorders>
              <w:top w:val="single" w:sz="4" w:space="0" w:color="auto"/>
              <w:left w:val="nil"/>
              <w:bottom w:val="single" w:sz="4" w:space="0" w:color="auto"/>
              <w:right w:val="nil"/>
            </w:tcBorders>
            <w:shd w:val="clear" w:color="auto" w:fill="auto"/>
            <w:noWrap/>
            <w:vAlign w:val="bottom"/>
            <w:hideMark/>
          </w:tcPr>
          <w:p w14:paraId="39D7C9A9"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2219.3</w:t>
            </w:r>
          </w:p>
        </w:tc>
        <w:tc>
          <w:tcPr>
            <w:tcW w:w="1300" w:type="dxa"/>
            <w:tcBorders>
              <w:top w:val="single" w:sz="4" w:space="0" w:color="auto"/>
              <w:left w:val="nil"/>
              <w:bottom w:val="single" w:sz="4" w:space="0" w:color="auto"/>
              <w:right w:val="nil"/>
            </w:tcBorders>
            <w:shd w:val="clear" w:color="auto" w:fill="auto"/>
            <w:noWrap/>
            <w:vAlign w:val="bottom"/>
            <w:hideMark/>
          </w:tcPr>
          <w:p w14:paraId="2660384E" w14:textId="3628B81F" w:rsidR="00144D44" w:rsidRPr="00AD187D" w:rsidRDefault="00527A41"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3032.5</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545CCEFE"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3537.2</w:t>
            </w:r>
          </w:p>
        </w:tc>
      </w:tr>
      <w:tr w:rsidR="00144D44" w:rsidRPr="002F685A" w14:paraId="130D0E5B" w14:textId="77777777" w:rsidTr="00AD187D">
        <w:trPr>
          <w:trHeight w:val="300"/>
          <w:jc w:val="center"/>
        </w:trPr>
        <w:tc>
          <w:tcPr>
            <w:tcW w:w="2626" w:type="dxa"/>
            <w:tcBorders>
              <w:top w:val="nil"/>
              <w:left w:val="single" w:sz="4" w:space="0" w:color="auto"/>
              <w:bottom w:val="nil"/>
              <w:right w:val="nil"/>
            </w:tcBorders>
            <w:shd w:val="clear" w:color="auto" w:fill="auto"/>
            <w:noWrap/>
            <w:vAlign w:val="bottom"/>
            <w:hideMark/>
          </w:tcPr>
          <w:p w14:paraId="7FE67731" w14:textId="3A96E29E" w:rsidR="00144D44" w:rsidRPr="00AD187D" w:rsidRDefault="00AD187D" w:rsidP="00AD187D">
            <w:pPr>
              <w:rPr>
                <w:rFonts w:eastAsia="Times New Roman" w:cs="Times New Roman"/>
                <w:i/>
                <w:iCs/>
                <w:color w:val="000000"/>
                <w:sz w:val="22"/>
                <w:szCs w:val="22"/>
                <w:lang w:eastAsia="en-US"/>
              </w:rPr>
            </w:pPr>
            <w:r w:rsidRPr="00AD187D">
              <w:rPr>
                <w:rFonts w:eastAsia="Times New Roman" w:cs="Times New Roman"/>
                <w:i/>
                <w:iCs/>
                <w:color w:val="000000"/>
                <w:sz w:val="22"/>
                <w:szCs w:val="22"/>
                <w:lang w:eastAsia="en-US"/>
              </w:rPr>
              <w:t xml:space="preserve">% </w:t>
            </w:r>
            <w:proofErr w:type="gramStart"/>
            <w:r w:rsidRPr="00AD187D">
              <w:rPr>
                <w:rFonts w:eastAsia="Times New Roman" w:cs="Times New Roman"/>
                <w:i/>
                <w:iCs/>
                <w:color w:val="000000"/>
                <w:sz w:val="22"/>
                <w:szCs w:val="22"/>
                <w:lang w:eastAsia="en-US"/>
              </w:rPr>
              <w:t>of</w:t>
            </w:r>
            <w:proofErr w:type="gramEnd"/>
            <w:r w:rsidRPr="00AD187D">
              <w:rPr>
                <w:rFonts w:eastAsia="Times New Roman" w:cs="Times New Roman"/>
                <w:i/>
                <w:iCs/>
                <w:color w:val="000000"/>
                <w:sz w:val="22"/>
                <w:szCs w:val="22"/>
                <w:lang w:eastAsia="en-US"/>
              </w:rPr>
              <w:t xml:space="preserve"> </w:t>
            </w:r>
            <w:r w:rsidR="00144D44" w:rsidRPr="00AD187D">
              <w:rPr>
                <w:rFonts w:eastAsia="Times New Roman" w:cs="Times New Roman"/>
                <w:i/>
                <w:iCs/>
                <w:color w:val="000000"/>
                <w:sz w:val="22"/>
                <w:szCs w:val="22"/>
                <w:lang w:eastAsia="en-US"/>
              </w:rPr>
              <w:t xml:space="preserve">Total Debt </w:t>
            </w:r>
          </w:p>
        </w:tc>
        <w:tc>
          <w:tcPr>
            <w:tcW w:w="1300" w:type="dxa"/>
            <w:tcBorders>
              <w:top w:val="nil"/>
              <w:left w:val="nil"/>
              <w:bottom w:val="nil"/>
              <w:right w:val="nil"/>
            </w:tcBorders>
            <w:shd w:val="clear" w:color="auto" w:fill="auto"/>
            <w:noWrap/>
            <w:vAlign w:val="bottom"/>
            <w:hideMark/>
          </w:tcPr>
          <w:p w14:paraId="47779A92" w14:textId="77777777" w:rsidR="00144D44" w:rsidRPr="00AD187D" w:rsidRDefault="00144D44" w:rsidP="00AD187D">
            <w:pPr>
              <w:jc w:val="center"/>
              <w:rPr>
                <w:rFonts w:eastAsia="Times New Roman" w:cs="Times New Roman"/>
                <w:i/>
                <w:iCs/>
                <w:color w:val="000000"/>
                <w:sz w:val="22"/>
                <w:szCs w:val="22"/>
                <w:lang w:eastAsia="en-US"/>
              </w:rPr>
            </w:pPr>
            <w:r w:rsidRPr="00AD187D">
              <w:rPr>
                <w:rFonts w:eastAsia="Times New Roman" w:cs="Times New Roman"/>
                <w:i/>
                <w:iCs/>
                <w:color w:val="000000"/>
                <w:sz w:val="22"/>
                <w:szCs w:val="22"/>
                <w:lang w:eastAsia="en-US"/>
              </w:rPr>
              <w:t>38%</w:t>
            </w:r>
          </w:p>
        </w:tc>
        <w:tc>
          <w:tcPr>
            <w:tcW w:w="1300" w:type="dxa"/>
            <w:tcBorders>
              <w:top w:val="nil"/>
              <w:left w:val="nil"/>
              <w:bottom w:val="nil"/>
              <w:right w:val="nil"/>
            </w:tcBorders>
            <w:shd w:val="clear" w:color="auto" w:fill="auto"/>
            <w:noWrap/>
            <w:vAlign w:val="bottom"/>
            <w:hideMark/>
          </w:tcPr>
          <w:p w14:paraId="5271B1F9" w14:textId="77777777" w:rsidR="00144D44" w:rsidRPr="00AD187D" w:rsidRDefault="00144D44" w:rsidP="00AD187D">
            <w:pPr>
              <w:jc w:val="center"/>
              <w:rPr>
                <w:rFonts w:eastAsia="Times New Roman" w:cs="Times New Roman"/>
                <w:i/>
                <w:iCs/>
                <w:color w:val="000000"/>
                <w:sz w:val="22"/>
                <w:szCs w:val="22"/>
                <w:lang w:eastAsia="en-US"/>
              </w:rPr>
            </w:pPr>
            <w:r w:rsidRPr="00AD187D">
              <w:rPr>
                <w:rFonts w:eastAsia="Times New Roman" w:cs="Times New Roman"/>
                <w:i/>
                <w:iCs/>
                <w:color w:val="000000"/>
                <w:sz w:val="22"/>
                <w:szCs w:val="22"/>
                <w:lang w:eastAsia="en-US"/>
              </w:rPr>
              <w:t>29%</w:t>
            </w:r>
          </w:p>
        </w:tc>
        <w:tc>
          <w:tcPr>
            <w:tcW w:w="1300" w:type="dxa"/>
            <w:tcBorders>
              <w:top w:val="nil"/>
              <w:left w:val="nil"/>
              <w:bottom w:val="nil"/>
              <w:right w:val="nil"/>
            </w:tcBorders>
            <w:shd w:val="clear" w:color="auto" w:fill="auto"/>
            <w:noWrap/>
            <w:vAlign w:val="bottom"/>
            <w:hideMark/>
          </w:tcPr>
          <w:p w14:paraId="6EC57C9D" w14:textId="77777777" w:rsidR="00144D44" w:rsidRPr="00AD187D" w:rsidRDefault="00144D44" w:rsidP="00AD187D">
            <w:pPr>
              <w:jc w:val="center"/>
              <w:rPr>
                <w:rFonts w:eastAsia="Times New Roman" w:cs="Times New Roman"/>
                <w:i/>
                <w:iCs/>
                <w:color w:val="000000"/>
                <w:sz w:val="22"/>
                <w:szCs w:val="22"/>
                <w:lang w:eastAsia="en-US"/>
              </w:rPr>
            </w:pPr>
            <w:r w:rsidRPr="00AD187D">
              <w:rPr>
                <w:rFonts w:eastAsia="Times New Roman" w:cs="Times New Roman"/>
                <w:i/>
                <w:iCs/>
                <w:color w:val="000000"/>
                <w:sz w:val="22"/>
                <w:szCs w:val="22"/>
                <w:lang w:eastAsia="en-US"/>
              </w:rPr>
              <w:t>27%</w:t>
            </w:r>
          </w:p>
        </w:tc>
        <w:tc>
          <w:tcPr>
            <w:tcW w:w="1300" w:type="dxa"/>
            <w:tcBorders>
              <w:top w:val="nil"/>
              <w:left w:val="nil"/>
              <w:bottom w:val="nil"/>
              <w:right w:val="nil"/>
            </w:tcBorders>
            <w:shd w:val="clear" w:color="auto" w:fill="auto"/>
            <w:noWrap/>
            <w:vAlign w:val="bottom"/>
            <w:hideMark/>
          </w:tcPr>
          <w:p w14:paraId="294A871A" w14:textId="663BDBF2" w:rsidR="00144D44" w:rsidRPr="00AD187D" w:rsidRDefault="00527A41" w:rsidP="00AD187D">
            <w:pPr>
              <w:jc w:val="center"/>
              <w:rPr>
                <w:rFonts w:eastAsia="Times New Roman" w:cs="Times New Roman"/>
                <w:i/>
                <w:iCs/>
                <w:color w:val="000000"/>
                <w:sz w:val="22"/>
                <w:szCs w:val="22"/>
                <w:lang w:eastAsia="en-US"/>
              </w:rPr>
            </w:pPr>
            <w:r w:rsidRPr="00AD187D">
              <w:rPr>
                <w:rFonts w:eastAsia="Times New Roman" w:cs="Times New Roman"/>
                <w:i/>
                <w:iCs/>
                <w:color w:val="000000"/>
                <w:sz w:val="22"/>
                <w:szCs w:val="22"/>
                <w:lang w:eastAsia="en-US"/>
              </w:rPr>
              <w:t>25</w:t>
            </w:r>
            <w:r w:rsidR="00144D44" w:rsidRPr="00AD187D">
              <w:rPr>
                <w:rFonts w:eastAsia="Times New Roman" w:cs="Times New Roman"/>
                <w:i/>
                <w:iCs/>
                <w:color w:val="000000"/>
                <w:sz w:val="22"/>
                <w:szCs w:val="22"/>
                <w:lang w:eastAsia="en-US"/>
              </w:rPr>
              <w:t>%</w:t>
            </w:r>
          </w:p>
        </w:tc>
        <w:tc>
          <w:tcPr>
            <w:tcW w:w="1150" w:type="dxa"/>
            <w:tcBorders>
              <w:top w:val="nil"/>
              <w:left w:val="nil"/>
              <w:bottom w:val="nil"/>
              <w:right w:val="single" w:sz="4" w:space="0" w:color="auto"/>
            </w:tcBorders>
            <w:shd w:val="clear" w:color="auto" w:fill="auto"/>
            <w:noWrap/>
            <w:vAlign w:val="bottom"/>
            <w:hideMark/>
          </w:tcPr>
          <w:p w14:paraId="2B2DB1DC" w14:textId="77777777" w:rsidR="00144D44" w:rsidRPr="00AD187D" w:rsidRDefault="00144D44" w:rsidP="00AD187D">
            <w:pPr>
              <w:jc w:val="center"/>
              <w:rPr>
                <w:rFonts w:eastAsia="Times New Roman" w:cs="Times New Roman"/>
                <w:i/>
                <w:iCs/>
                <w:color w:val="000000"/>
                <w:sz w:val="22"/>
                <w:szCs w:val="22"/>
                <w:lang w:eastAsia="en-US"/>
              </w:rPr>
            </w:pPr>
            <w:r w:rsidRPr="00AD187D">
              <w:rPr>
                <w:rFonts w:eastAsia="Times New Roman" w:cs="Times New Roman"/>
                <w:i/>
                <w:iCs/>
                <w:color w:val="000000"/>
                <w:sz w:val="22"/>
                <w:szCs w:val="22"/>
                <w:lang w:eastAsia="en-US"/>
              </w:rPr>
              <w:t>23%</w:t>
            </w:r>
          </w:p>
        </w:tc>
      </w:tr>
      <w:tr w:rsidR="00144D44" w:rsidRPr="002F685A" w14:paraId="69DAA0FA" w14:textId="77777777" w:rsidTr="00AD187D">
        <w:trPr>
          <w:trHeight w:val="300"/>
          <w:jc w:val="center"/>
        </w:trPr>
        <w:tc>
          <w:tcPr>
            <w:tcW w:w="2626" w:type="dxa"/>
            <w:tcBorders>
              <w:top w:val="single" w:sz="4" w:space="0" w:color="auto"/>
              <w:left w:val="single" w:sz="4" w:space="0" w:color="auto"/>
              <w:bottom w:val="single" w:sz="4" w:space="0" w:color="auto"/>
              <w:right w:val="nil"/>
            </w:tcBorders>
            <w:shd w:val="clear" w:color="auto" w:fill="auto"/>
            <w:noWrap/>
            <w:vAlign w:val="bottom"/>
            <w:hideMark/>
          </w:tcPr>
          <w:p w14:paraId="76EC6CD5" w14:textId="77777777" w:rsidR="00144D44" w:rsidRPr="00AD187D" w:rsidRDefault="00144D44" w:rsidP="00AD187D">
            <w:pPr>
              <w:rPr>
                <w:rFonts w:eastAsia="Times New Roman" w:cs="Times New Roman"/>
                <w:color w:val="000000"/>
                <w:sz w:val="22"/>
                <w:szCs w:val="22"/>
                <w:lang w:eastAsia="en-US"/>
              </w:rPr>
            </w:pPr>
            <w:r w:rsidRPr="00AD187D">
              <w:rPr>
                <w:rFonts w:eastAsia="Times New Roman" w:cs="Times New Roman"/>
                <w:color w:val="000000"/>
                <w:sz w:val="22"/>
                <w:szCs w:val="22"/>
                <w:lang w:eastAsia="en-US"/>
              </w:rPr>
              <w:t>Total Public Debt</w:t>
            </w:r>
          </w:p>
        </w:tc>
        <w:tc>
          <w:tcPr>
            <w:tcW w:w="1300" w:type="dxa"/>
            <w:tcBorders>
              <w:top w:val="single" w:sz="4" w:space="0" w:color="auto"/>
              <w:left w:val="nil"/>
              <w:bottom w:val="single" w:sz="4" w:space="0" w:color="auto"/>
              <w:right w:val="nil"/>
            </w:tcBorders>
            <w:shd w:val="clear" w:color="auto" w:fill="auto"/>
            <w:noWrap/>
            <w:vAlign w:val="bottom"/>
            <w:hideMark/>
          </w:tcPr>
          <w:p w14:paraId="671814EC"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6579.7</w:t>
            </w:r>
          </w:p>
        </w:tc>
        <w:tc>
          <w:tcPr>
            <w:tcW w:w="1300" w:type="dxa"/>
            <w:tcBorders>
              <w:top w:val="single" w:sz="4" w:space="0" w:color="auto"/>
              <w:left w:val="nil"/>
              <w:bottom w:val="single" w:sz="4" w:space="0" w:color="auto"/>
              <w:right w:val="nil"/>
            </w:tcBorders>
            <w:shd w:val="clear" w:color="auto" w:fill="auto"/>
            <w:noWrap/>
            <w:vAlign w:val="bottom"/>
            <w:hideMark/>
          </w:tcPr>
          <w:p w14:paraId="21E79128"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7238.4</w:t>
            </w:r>
          </w:p>
        </w:tc>
        <w:tc>
          <w:tcPr>
            <w:tcW w:w="1300" w:type="dxa"/>
            <w:tcBorders>
              <w:top w:val="single" w:sz="4" w:space="0" w:color="auto"/>
              <w:left w:val="nil"/>
              <w:bottom w:val="single" w:sz="4" w:space="0" w:color="auto"/>
              <w:right w:val="nil"/>
            </w:tcBorders>
            <w:shd w:val="clear" w:color="auto" w:fill="auto"/>
            <w:noWrap/>
            <w:vAlign w:val="bottom"/>
            <w:hideMark/>
          </w:tcPr>
          <w:p w14:paraId="4BB862D4"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8350.1</w:t>
            </w:r>
          </w:p>
        </w:tc>
        <w:tc>
          <w:tcPr>
            <w:tcW w:w="1300" w:type="dxa"/>
            <w:tcBorders>
              <w:top w:val="single" w:sz="4" w:space="0" w:color="auto"/>
              <w:left w:val="nil"/>
              <w:bottom w:val="single" w:sz="4" w:space="0" w:color="auto"/>
              <w:right w:val="nil"/>
            </w:tcBorders>
            <w:shd w:val="clear" w:color="auto" w:fill="auto"/>
            <w:noWrap/>
            <w:vAlign w:val="bottom"/>
            <w:hideMark/>
          </w:tcPr>
          <w:p w14:paraId="7BB43ACD" w14:textId="3CAFD330" w:rsidR="00144D44" w:rsidRPr="00AD187D" w:rsidRDefault="00527A41"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11877.7</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14:paraId="4C40B7DE" w14:textId="77777777" w:rsidR="00144D44" w:rsidRPr="00AD187D" w:rsidRDefault="00144D44" w:rsidP="00AD187D">
            <w:pPr>
              <w:jc w:val="center"/>
              <w:rPr>
                <w:rFonts w:eastAsia="Times New Roman" w:cs="Times New Roman"/>
                <w:color w:val="000000"/>
                <w:sz w:val="22"/>
                <w:szCs w:val="22"/>
                <w:lang w:eastAsia="en-US"/>
              </w:rPr>
            </w:pPr>
            <w:r w:rsidRPr="00AD187D">
              <w:rPr>
                <w:rFonts w:eastAsia="Times New Roman" w:cs="Times New Roman"/>
                <w:color w:val="000000"/>
                <w:sz w:val="22"/>
                <w:szCs w:val="22"/>
                <w:lang w:eastAsia="en-US"/>
              </w:rPr>
              <w:t>15365.1</w:t>
            </w:r>
          </w:p>
        </w:tc>
      </w:tr>
      <w:tr w:rsidR="00144D44" w:rsidRPr="002F685A" w14:paraId="13DBE3F9" w14:textId="77777777" w:rsidTr="00AD187D">
        <w:trPr>
          <w:trHeight w:val="300"/>
          <w:jc w:val="center"/>
        </w:trPr>
        <w:tc>
          <w:tcPr>
            <w:tcW w:w="2626" w:type="dxa"/>
            <w:tcBorders>
              <w:top w:val="nil"/>
              <w:left w:val="single" w:sz="4" w:space="0" w:color="auto"/>
              <w:bottom w:val="single" w:sz="4" w:space="0" w:color="auto"/>
              <w:right w:val="nil"/>
            </w:tcBorders>
            <w:shd w:val="clear" w:color="auto" w:fill="auto"/>
            <w:noWrap/>
            <w:vAlign w:val="bottom"/>
            <w:hideMark/>
          </w:tcPr>
          <w:p w14:paraId="035E9527" w14:textId="56A33725" w:rsidR="00144D44" w:rsidRPr="00AD187D" w:rsidRDefault="000A1D16" w:rsidP="00AD187D">
            <w:pPr>
              <w:rPr>
                <w:rFonts w:eastAsia="Times New Roman" w:cs="Times New Roman"/>
                <w:color w:val="000000"/>
                <w:sz w:val="22"/>
                <w:szCs w:val="22"/>
                <w:lang w:eastAsia="en-US"/>
              </w:rPr>
            </w:pPr>
            <w:r>
              <w:rPr>
                <w:rFonts w:eastAsia="Times New Roman" w:cs="Times New Roman"/>
                <w:color w:val="000000"/>
                <w:sz w:val="22"/>
                <w:szCs w:val="22"/>
                <w:lang w:eastAsia="en-US"/>
              </w:rPr>
              <w:t>Total Public Debt %</w:t>
            </w:r>
            <w:r w:rsidR="00144D44" w:rsidRPr="00AD187D">
              <w:rPr>
                <w:rFonts w:eastAsia="Times New Roman" w:cs="Times New Roman"/>
                <w:color w:val="000000"/>
                <w:sz w:val="22"/>
                <w:szCs w:val="22"/>
                <w:lang w:eastAsia="en-US"/>
              </w:rPr>
              <w:t xml:space="preserve"> GDP</w:t>
            </w:r>
          </w:p>
        </w:tc>
        <w:tc>
          <w:tcPr>
            <w:tcW w:w="1300" w:type="dxa"/>
            <w:tcBorders>
              <w:top w:val="nil"/>
              <w:left w:val="nil"/>
              <w:bottom w:val="single" w:sz="4" w:space="0" w:color="auto"/>
              <w:right w:val="nil"/>
            </w:tcBorders>
            <w:shd w:val="clear" w:color="auto" w:fill="auto"/>
            <w:noWrap/>
            <w:vAlign w:val="bottom"/>
            <w:hideMark/>
          </w:tcPr>
          <w:p w14:paraId="5E8CB615" w14:textId="315C02E4" w:rsidR="00144D44" w:rsidRPr="00AD187D" w:rsidRDefault="00144D44" w:rsidP="00AD187D">
            <w:pPr>
              <w:jc w:val="center"/>
              <w:rPr>
                <w:rFonts w:eastAsia="Times New Roman" w:cs="Times New Roman"/>
                <w:i/>
                <w:iCs/>
                <w:color w:val="000000"/>
                <w:sz w:val="22"/>
                <w:szCs w:val="22"/>
                <w:lang w:eastAsia="en-US"/>
              </w:rPr>
            </w:pPr>
            <w:r w:rsidRPr="00AD187D">
              <w:rPr>
                <w:rFonts w:eastAsia="Times New Roman" w:cs="Times New Roman"/>
                <w:i/>
                <w:iCs/>
                <w:color w:val="000000"/>
                <w:sz w:val="22"/>
                <w:szCs w:val="22"/>
                <w:lang w:eastAsia="en-US"/>
              </w:rPr>
              <w:t> 25%</w:t>
            </w:r>
          </w:p>
        </w:tc>
        <w:tc>
          <w:tcPr>
            <w:tcW w:w="1300" w:type="dxa"/>
            <w:tcBorders>
              <w:top w:val="nil"/>
              <w:left w:val="nil"/>
              <w:bottom w:val="single" w:sz="4" w:space="0" w:color="auto"/>
              <w:right w:val="nil"/>
            </w:tcBorders>
            <w:shd w:val="clear" w:color="auto" w:fill="auto"/>
            <w:noWrap/>
            <w:vAlign w:val="bottom"/>
            <w:hideMark/>
          </w:tcPr>
          <w:p w14:paraId="57323751" w14:textId="31E7B899" w:rsidR="00144D44" w:rsidRPr="00AD187D" w:rsidRDefault="00144D44" w:rsidP="00AD187D">
            <w:pPr>
              <w:jc w:val="center"/>
              <w:rPr>
                <w:rFonts w:eastAsia="Times New Roman" w:cs="Times New Roman"/>
                <w:i/>
                <w:iCs/>
                <w:color w:val="000000"/>
                <w:sz w:val="22"/>
                <w:szCs w:val="22"/>
                <w:lang w:eastAsia="en-US"/>
              </w:rPr>
            </w:pPr>
            <w:r w:rsidRPr="00AD187D">
              <w:rPr>
                <w:rFonts w:eastAsia="Times New Roman" w:cs="Times New Roman"/>
                <w:i/>
                <w:iCs/>
                <w:color w:val="000000"/>
                <w:sz w:val="22"/>
                <w:szCs w:val="22"/>
                <w:lang w:eastAsia="en-US"/>
              </w:rPr>
              <w:t> 24%</w:t>
            </w:r>
          </w:p>
        </w:tc>
        <w:tc>
          <w:tcPr>
            <w:tcW w:w="1300" w:type="dxa"/>
            <w:tcBorders>
              <w:top w:val="nil"/>
              <w:left w:val="nil"/>
              <w:bottom w:val="single" w:sz="4" w:space="0" w:color="auto"/>
              <w:right w:val="nil"/>
            </w:tcBorders>
            <w:shd w:val="clear" w:color="auto" w:fill="auto"/>
            <w:noWrap/>
            <w:vAlign w:val="bottom"/>
            <w:hideMark/>
          </w:tcPr>
          <w:p w14:paraId="3C8109A6" w14:textId="21A1A245" w:rsidR="00144D44" w:rsidRPr="00AD187D" w:rsidRDefault="00144D44" w:rsidP="00AD187D">
            <w:pPr>
              <w:jc w:val="center"/>
              <w:rPr>
                <w:rFonts w:eastAsia="Times New Roman" w:cs="Times New Roman"/>
                <w:i/>
                <w:iCs/>
                <w:color w:val="000000"/>
                <w:sz w:val="22"/>
                <w:szCs w:val="22"/>
                <w:lang w:eastAsia="en-US"/>
              </w:rPr>
            </w:pPr>
            <w:r w:rsidRPr="00AD187D">
              <w:rPr>
                <w:rFonts w:eastAsia="Times New Roman" w:cs="Times New Roman"/>
                <w:i/>
                <w:iCs/>
                <w:color w:val="000000"/>
                <w:sz w:val="22"/>
                <w:szCs w:val="22"/>
                <w:lang w:eastAsia="en-US"/>
              </w:rPr>
              <w:t> 26%</w:t>
            </w:r>
          </w:p>
        </w:tc>
        <w:tc>
          <w:tcPr>
            <w:tcW w:w="1300" w:type="dxa"/>
            <w:tcBorders>
              <w:top w:val="nil"/>
              <w:left w:val="nil"/>
              <w:bottom w:val="single" w:sz="4" w:space="0" w:color="auto"/>
              <w:right w:val="nil"/>
            </w:tcBorders>
            <w:shd w:val="clear" w:color="auto" w:fill="auto"/>
            <w:noWrap/>
            <w:vAlign w:val="bottom"/>
            <w:hideMark/>
          </w:tcPr>
          <w:p w14:paraId="3D5BFC5F" w14:textId="50DAFEFE" w:rsidR="00144D44" w:rsidRPr="00AD187D" w:rsidRDefault="00144D44" w:rsidP="00AD187D">
            <w:pPr>
              <w:jc w:val="center"/>
              <w:rPr>
                <w:rFonts w:eastAsia="Times New Roman" w:cs="Times New Roman"/>
                <w:i/>
                <w:iCs/>
                <w:color w:val="000000"/>
                <w:sz w:val="22"/>
                <w:szCs w:val="22"/>
                <w:lang w:eastAsia="en-US"/>
              </w:rPr>
            </w:pPr>
            <w:r w:rsidRPr="00AD187D">
              <w:rPr>
                <w:rFonts w:eastAsia="Times New Roman" w:cs="Times New Roman"/>
                <w:i/>
                <w:iCs/>
                <w:color w:val="000000"/>
                <w:sz w:val="22"/>
                <w:szCs w:val="22"/>
                <w:lang w:eastAsia="en-US"/>
              </w:rPr>
              <w:t>34.6% </w:t>
            </w:r>
          </w:p>
        </w:tc>
        <w:tc>
          <w:tcPr>
            <w:tcW w:w="1150" w:type="dxa"/>
            <w:tcBorders>
              <w:top w:val="nil"/>
              <w:left w:val="nil"/>
              <w:bottom w:val="single" w:sz="4" w:space="0" w:color="auto"/>
              <w:right w:val="single" w:sz="4" w:space="0" w:color="auto"/>
            </w:tcBorders>
            <w:shd w:val="clear" w:color="auto" w:fill="auto"/>
            <w:noWrap/>
            <w:vAlign w:val="bottom"/>
            <w:hideMark/>
          </w:tcPr>
          <w:p w14:paraId="0CEDA4E7" w14:textId="77777777" w:rsidR="00144D44" w:rsidRPr="00AD187D" w:rsidRDefault="00144D44" w:rsidP="00AD187D">
            <w:pPr>
              <w:jc w:val="center"/>
              <w:rPr>
                <w:rFonts w:eastAsia="Times New Roman" w:cs="Times New Roman"/>
                <w:i/>
                <w:iCs/>
                <w:color w:val="000000"/>
                <w:sz w:val="22"/>
                <w:szCs w:val="22"/>
                <w:lang w:eastAsia="en-US"/>
              </w:rPr>
            </w:pPr>
            <w:r w:rsidRPr="00AD187D">
              <w:rPr>
                <w:rFonts w:eastAsia="Times New Roman" w:cs="Times New Roman"/>
                <w:i/>
                <w:iCs/>
                <w:color w:val="000000"/>
                <w:sz w:val="22"/>
                <w:szCs w:val="22"/>
                <w:lang w:eastAsia="en-US"/>
              </w:rPr>
              <w:t>35.5%</w:t>
            </w:r>
          </w:p>
        </w:tc>
      </w:tr>
      <w:tr w:rsidR="00144D44" w:rsidRPr="002F685A" w14:paraId="5435DC94" w14:textId="77777777" w:rsidTr="00AD187D">
        <w:trPr>
          <w:trHeight w:val="300"/>
          <w:jc w:val="center"/>
        </w:trPr>
        <w:tc>
          <w:tcPr>
            <w:tcW w:w="3926" w:type="dxa"/>
            <w:gridSpan w:val="2"/>
            <w:tcBorders>
              <w:top w:val="nil"/>
              <w:left w:val="single" w:sz="4" w:space="0" w:color="auto"/>
              <w:bottom w:val="single" w:sz="4" w:space="0" w:color="auto"/>
              <w:right w:val="nil"/>
            </w:tcBorders>
            <w:shd w:val="clear" w:color="auto" w:fill="auto"/>
            <w:noWrap/>
            <w:vAlign w:val="bottom"/>
            <w:hideMark/>
          </w:tcPr>
          <w:p w14:paraId="75C587D1" w14:textId="7A0C46D9" w:rsidR="00144D44" w:rsidRPr="00AD187D" w:rsidRDefault="00144D44" w:rsidP="00AD187D">
            <w:pPr>
              <w:rPr>
                <w:rFonts w:eastAsia="Times New Roman" w:cs="Times New Roman"/>
                <w:i/>
                <w:iCs/>
                <w:color w:val="000000"/>
                <w:sz w:val="20"/>
                <w:szCs w:val="20"/>
                <w:lang w:eastAsia="en-US"/>
              </w:rPr>
            </w:pPr>
            <w:r w:rsidRPr="00AD187D">
              <w:rPr>
                <w:rFonts w:eastAsia="Times New Roman" w:cs="Times New Roman"/>
                <w:i/>
                <w:iCs/>
                <w:color w:val="000000"/>
                <w:sz w:val="20"/>
                <w:szCs w:val="20"/>
                <w:lang w:eastAsia="en-US"/>
              </w:rPr>
              <w:t>S</w:t>
            </w:r>
            <w:r w:rsidR="00AD187D" w:rsidRPr="00AD187D">
              <w:rPr>
                <w:rFonts w:eastAsia="Times New Roman" w:cs="Times New Roman"/>
                <w:i/>
                <w:iCs/>
                <w:color w:val="000000"/>
                <w:sz w:val="20"/>
                <w:szCs w:val="20"/>
                <w:lang w:eastAsia="en-US"/>
              </w:rPr>
              <w:t xml:space="preserve">ource: BPNG &amp; Treasury </w:t>
            </w:r>
          </w:p>
        </w:tc>
        <w:tc>
          <w:tcPr>
            <w:tcW w:w="1300" w:type="dxa"/>
            <w:tcBorders>
              <w:top w:val="nil"/>
              <w:left w:val="nil"/>
              <w:bottom w:val="single" w:sz="4" w:space="0" w:color="auto"/>
              <w:right w:val="nil"/>
            </w:tcBorders>
            <w:shd w:val="clear" w:color="auto" w:fill="auto"/>
            <w:noWrap/>
            <w:vAlign w:val="bottom"/>
            <w:hideMark/>
          </w:tcPr>
          <w:p w14:paraId="35F85E41" w14:textId="77777777" w:rsidR="00144D44" w:rsidRPr="002F685A" w:rsidRDefault="00144D44" w:rsidP="00AD187D">
            <w:pPr>
              <w:rPr>
                <w:rFonts w:eastAsia="Times New Roman" w:cs="Times New Roman"/>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1444AAE0" w14:textId="77777777" w:rsidR="00144D44" w:rsidRPr="002F685A" w:rsidRDefault="00144D44" w:rsidP="00AD187D">
            <w:pPr>
              <w:rPr>
                <w:rFonts w:eastAsia="Times New Roman" w:cs="Times New Roman"/>
                <w:color w:val="000000"/>
                <w:lang w:eastAsia="en-US"/>
              </w:rPr>
            </w:pPr>
          </w:p>
        </w:tc>
        <w:tc>
          <w:tcPr>
            <w:tcW w:w="1300" w:type="dxa"/>
            <w:tcBorders>
              <w:top w:val="nil"/>
              <w:left w:val="nil"/>
              <w:bottom w:val="single" w:sz="4" w:space="0" w:color="auto"/>
              <w:right w:val="nil"/>
            </w:tcBorders>
            <w:shd w:val="clear" w:color="auto" w:fill="auto"/>
            <w:noWrap/>
            <w:vAlign w:val="bottom"/>
            <w:hideMark/>
          </w:tcPr>
          <w:p w14:paraId="295BFCE3" w14:textId="77777777" w:rsidR="00144D44" w:rsidRPr="002F685A" w:rsidRDefault="00144D44" w:rsidP="00AD187D">
            <w:pPr>
              <w:rPr>
                <w:rFonts w:eastAsia="Times New Roman" w:cs="Times New Roman"/>
                <w:color w:val="000000"/>
                <w:lang w:eastAsia="en-US"/>
              </w:rPr>
            </w:pPr>
          </w:p>
        </w:tc>
        <w:tc>
          <w:tcPr>
            <w:tcW w:w="1150" w:type="dxa"/>
            <w:tcBorders>
              <w:top w:val="nil"/>
              <w:left w:val="nil"/>
              <w:bottom w:val="single" w:sz="4" w:space="0" w:color="auto"/>
              <w:right w:val="single" w:sz="4" w:space="0" w:color="auto"/>
            </w:tcBorders>
            <w:shd w:val="clear" w:color="auto" w:fill="auto"/>
            <w:noWrap/>
            <w:vAlign w:val="bottom"/>
            <w:hideMark/>
          </w:tcPr>
          <w:p w14:paraId="49015C11" w14:textId="77777777" w:rsidR="00144D44" w:rsidRPr="002F685A" w:rsidRDefault="00144D44" w:rsidP="00AD187D">
            <w:pPr>
              <w:rPr>
                <w:rFonts w:eastAsia="Times New Roman" w:cs="Times New Roman"/>
                <w:color w:val="000000"/>
                <w:lang w:eastAsia="en-US"/>
              </w:rPr>
            </w:pPr>
          </w:p>
        </w:tc>
      </w:tr>
    </w:tbl>
    <w:p w14:paraId="729B69B4" w14:textId="77777777" w:rsidR="00144D44" w:rsidRDefault="00144D44" w:rsidP="00AD187D">
      <w:pPr>
        <w:widowControl w:val="0"/>
        <w:jc w:val="both"/>
        <w:rPr>
          <w:rFonts w:cs="Times New Roman"/>
        </w:rPr>
      </w:pPr>
    </w:p>
    <w:p w14:paraId="4F54B818" w14:textId="5CC635D8" w:rsidR="005C4750" w:rsidRPr="0044606B" w:rsidRDefault="005C4750" w:rsidP="0044606B">
      <w:pPr>
        <w:pStyle w:val="ListParagraph"/>
        <w:widowControl w:val="0"/>
        <w:numPr>
          <w:ilvl w:val="0"/>
          <w:numId w:val="2"/>
        </w:numPr>
        <w:spacing w:after="240"/>
        <w:ind w:left="0" w:firstLine="0"/>
        <w:contextualSpacing w:val="0"/>
        <w:jc w:val="both"/>
        <w:rPr>
          <w:rFonts w:cs="Times New Roman"/>
        </w:rPr>
      </w:pPr>
      <w:r w:rsidRPr="005C4750">
        <w:rPr>
          <w:rFonts w:cs="Times New Roman"/>
        </w:rPr>
        <w:t xml:space="preserve">The increase in PNG’s </w:t>
      </w:r>
      <w:r>
        <w:rPr>
          <w:rFonts w:cs="Times New Roman"/>
        </w:rPr>
        <w:t>debt portfolio has be</w:t>
      </w:r>
      <w:r w:rsidR="0044606B">
        <w:rPr>
          <w:rFonts w:cs="Times New Roman"/>
        </w:rPr>
        <w:t xml:space="preserve">en led by domestic debt increasing </w:t>
      </w:r>
      <w:r w:rsidR="0044606B" w:rsidRPr="0044606B">
        <w:rPr>
          <w:rFonts w:cs="Times New Roman"/>
        </w:rPr>
        <w:t xml:space="preserve">2-½ fold </w:t>
      </w:r>
      <w:r w:rsidR="00BC087E" w:rsidRPr="0044606B">
        <w:rPr>
          <w:rFonts w:cs="Times New Roman"/>
        </w:rPr>
        <w:t xml:space="preserve">from </w:t>
      </w:r>
      <w:r w:rsidR="0044606B" w:rsidRPr="0044606B">
        <w:rPr>
          <w:rFonts w:cs="Times New Roman"/>
        </w:rPr>
        <w:t>PGK 4,077.8</w:t>
      </w:r>
      <w:r w:rsidR="00BC087E" w:rsidRPr="0044606B">
        <w:rPr>
          <w:rFonts w:cs="Times New Roman"/>
        </w:rPr>
        <w:t xml:space="preserve">mm to </w:t>
      </w:r>
      <w:r w:rsidR="00341A40" w:rsidRPr="0044606B">
        <w:rPr>
          <w:rFonts w:cs="Times New Roman"/>
        </w:rPr>
        <w:t>PGK</w:t>
      </w:r>
      <w:r w:rsidR="0044606B" w:rsidRPr="0044606B">
        <w:rPr>
          <w:rFonts w:cs="Times New Roman"/>
        </w:rPr>
        <w:t xml:space="preserve"> 11,827.9</w:t>
      </w:r>
      <w:r w:rsidRPr="0044606B">
        <w:rPr>
          <w:rFonts w:cs="Times New Roman"/>
        </w:rPr>
        <w:t xml:space="preserve">mm in the 5-year </w:t>
      </w:r>
      <w:r w:rsidR="00C64933" w:rsidRPr="0044606B">
        <w:rPr>
          <w:rFonts w:cs="Times New Roman"/>
        </w:rPr>
        <w:t>period</w:t>
      </w:r>
      <w:r w:rsidR="002E0F43">
        <w:rPr>
          <w:rFonts w:cs="Times New Roman"/>
        </w:rPr>
        <w:t xml:space="preserve"> of 2010 to 2014</w:t>
      </w:r>
      <w:r w:rsidR="00C64933" w:rsidRPr="0044606B">
        <w:rPr>
          <w:rFonts w:cs="Times New Roman"/>
        </w:rPr>
        <w:t xml:space="preserve"> wi</w:t>
      </w:r>
      <w:r w:rsidR="0044606B" w:rsidRPr="0044606B">
        <w:rPr>
          <w:rFonts w:cs="Times New Roman"/>
        </w:rPr>
        <w:t>th domestic debt representing 77</w:t>
      </w:r>
      <w:r w:rsidR="00C64933" w:rsidRPr="0044606B">
        <w:rPr>
          <w:rFonts w:cs="Times New Roman"/>
        </w:rPr>
        <w:t xml:space="preserve">% of the total </w:t>
      </w:r>
      <w:r w:rsidR="00E0299A" w:rsidRPr="0044606B">
        <w:rPr>
          <w:rFonts w:cs="Times New Roman"/>
        </w:rPr>
        <w:t xml:space="preserve">public debt composition. The average time to maturity </w:t>
      </w:r>
      <w:r w:rsidR="00C64933" w:rsidRPr="0044606B">
        <w:rPr>
          <w:rFonts w:cs="Times New Roman"/>
        </w:rPr>
        <w:t>of the domestic debt stoc</w:t>
      </w:r>
      <w:r w:rsidR="009C3520" w:rsidRPr="0044606B">
        <w:rPr>
          <w:rFonts w:cs="Times New Roman"/>
        </w:rPr>
        <w:t>k is currently roughly</w:t>
      </w:r>
      <w:r w:rsidR="00C64933" w:rsidRPr="0044606B">
        <w:rPr>
          <w:rFonts w:cs="Times New Roman"/>
        </w:rPr>
        <w:t xml:space="preserve"> 4</w:t>
      </w:r>
      <w:r w:rsidR="00F527D5" w:rsidRPr="0044606B">
        <w:rPr>
          <w:rFonts w:cs="Times New Roman"/>
        </w:rPr>
        <w:t>.4</w:t>
      </w:r>
      <w:r w:rsidR="003460AE" w:rsidRPr="0044606B">
        <w:rPr>
          <w:rFonts w:cs="Times New Roman"/>
        </w:rPr>
        <w:t xml:space="preserve">-years.  </w:t>
      </w:r>
    </w:p>
    <w:p w14:paraId="00274A43" w14:textId="5749D2BE" w:rsidR="001B7C20" w:rsidRPr="001B7C20" w:rsidRDefault="0044606B" w:rsidP="00F04788">
      <w:pPr>
        <w:pStyle w:val="ListParagraph"/>
        <w:widowControl w:val="0"/>
        <w:numPr>
          <w:ilvl w:val="0"/>
          <w:numId w:val="2"/>
        </w:numPr>
        <w:spacing w:after="240"/>
        <w:ind w:left="0" w:firstLine="0"/>
        <w:contextualSpacing w:val="0"/>
        <w:jc w:val="both"/>
        <w:rPr>
          <w:rFonts w:cs="Times New Roman"/>
        </w:rPr>
      </w:pPr>
      <w:r>
        <w:rPr>
          <w:rFonts w:cs="Times New Roman"/>
        </w:rPr>
        <w:t>External debt represents 23</w:t>
      </w:r>
      <w:r w:rsidR="001B7C20">
        <w:rPr>
          <w:rFonts w:cs="Times New Roman"/>
        </w:rPr>
        <w:t>% of the total</w:t>
      </w:r>
      <w:r>
        <w:rPr>
          <w:rFonts w:cs="Times New Roman"/>
        </w:rPr>
        <w:t xml:space="preserve"> stock of public debt as of 2014</w:t>
      </w:r>
      <w:r w:rsidR="001E6B11">
        <w:rPr>
          <w:rFonts w:cs="Times New Roman"/>
        </w:rPr>
        <w:t>. E</w:t>
      </w:r>
      <w:r w:rsidR="001B7C20">
        <w:rPr>
          <w:rFonts w:cs="Times New Roman"/>
        </w:rPr>
        <w:t xml:space="preserve">xternal debt is </w:t>
      </w:r>
      <w:r w:rsidR="001E6B11">
        <w:rPr>
          <w:rFonts w:cs="Times New Roman"/>
        </w:rPr>
        <w:t xml:space="preserve">entirely </w:t>
      </w:r>
      <w:r w:rsidR="001B7C20">
        <w:rPr>
          <w:rFonts w:cs="Times New Roman"/>
        </w:rPr>
        <w:t>concessional borrowin</w:t>
      </w:r>
      <w:r w:rsidR="003561BC">
        <w:rPr>
          <w:rFonts w:cs="Times New Roman"/>
        </w:rPr>
        <w:t>gs from multilateral sources at</w:t>
      </w:r>
      <w:r w:rsidR="009C3520">
        <w:rPr>
          <w:rFonts w:cs="Times New Roman"/>
        </w:rPr>
        <w:t xml:space="preserve"> low interest rates</w:t>
      </w:r>
      <w:r w:rsidR="003561BC">
        <w:rPr>
          <w:rFonts w:cs="Times New Roman"/>
        </w:rPr>
        <w:t xml:space="preserve"> of roughly 1.5%</w:t>
      </w:r>
      <w:r w:rsidR="009C3520">
        <w:rPr>
          <w:rFonts w:cs="Times New Roman"/>
        </w:rPr>
        <w:t>.</w:t>
      </w:r>
      <w:r w:rsidR="001B7C20">
        <w:rPr>
          <w:rFonts w:cs="Times New Roman"/>
        </w:rPr>
        <w:t xml:space="preserve"> The 2015 debt strategy </w:t>
      </w:r>
      <w:r w:rsidR="006B1130">
        <w:rPr>
          <w:rFonts w:cs="Times New Roman"/>
        </w:rPr>
        <w:t>is to</w:t>
      </w:r>
      <w:r w:rsidR="001B7C20">
        <w:rPr>
          <w:rFonts w:cs="Times New Roman"/>
        </w:rPr>
        <w:t xml:space="preserve"> maintain foreign currency debt at or below 40% of total debt by restricting the amount of new foreign currency loans. However, the current </w:t>
      </w:r>
      <w:r w:rsidR="00E0299A">
        <w:rPr>
          <w:rFonts w:cs="Times New Roman"/>
        </w:rPr>
        <w:t xml:space="preserve">debt </w:t>
      </w:r>
      <w:r w:rsidR="001B7C20">
        <w:rPr>
          <w:rFonts w:cs="Times New Roman"/>
        </w:rPr>
        <w:t>strategy incorporates the poten</w:t>
      </w:r>
      <w:r w:rsidR="00E0299A">
        <w:rPr>
          <w:rFonts w:cs="Times New Roman"/>
        </w:rPr>
        <w:t>tial for the issuance of a PGK</w:t>
      </w:r>
      <w:r w:rsidR="001B7C20">
        <w:rPr>
          <w:rFonts w:cs="Times New Roman"/>
        </w:rPr>
        <w:t>1</w:t>
      </w:r>
      <w:proofErr w:type="gramStart"/>
      <w:r w:rsidR="001B7C20">
        <w:rPr>
          <w:rFonts w:cs="Times New Roman"/>
        </w:rPr>
        <w:t>,000mm</w:t>
      </w:r>
      <w:proofErr w:type="gramEnd"/>
      <w:r w:rsidR="001B7C20">
        <w:rPr>
          <w:rFonts w:cs="Times New Roman"/>
        </w:rPr>
        <w:t xml:space="preserve"> (</w:t>
      </w:r>
      <w:r w:rsidR="00A65D6F">
        <w:rPr>
          <w:rFonts w:cs="Times New Roman"/>
        </w:rPr>
        <w:t>US</w:t>
      </w:r>
      <w:r w:rsidR="001B7C20">
        <w:rPr>
          <w:rFonts w:cs="Times New Roman"/>
        </w:rPr>
        <w:t>$365mm) sovereign bond in the international capital markets.</w:t>
      </w:r>
    </w:p>
    <w:p w14:paraId="7E58A223" w14:textId="3ECEE9AA" w:rsidR="00954705" w:rsidRDefault="00954705" w:rsidP="00F04788">
      <w:pPr>
        <w:pStyle w:val="ListParagraph"/>
        <w:widowControl w:val="0"/>
        <w:numPr>
          <w:ilvl w:val="0"/>
          <w:numId w:val="2"/>
        </w:numPr>
        <w:spacing w:after="240"/>
        <w:ind w:left="0" w:firstLine="0"/>
        <w:contextualSpacing w:val="0"/>
        <w:jc w:val="both"/>
        <w:rPr>
          <w:rFonts w:cs="Times New Roman"/>
        </w:rPr>
      </w:pPr>
      <w:r w:rsidRPr="003F04B9">
        <w:rPr>
          <w:rFonts w:cs="Times New Roman"/>
        </w:rPr>
        <w:t>The dev</w:t>
      </w:r>
      <w:r w:rsidR="00BF1777">
        <w:rPr>
          <w:rFonts w:cs="Times New Roman"/>
        </w:rPr>
        <w:t xml:space="preserve">eloping and emerging domestic </w:t>
      </w:r>
      <w:r w:rsidRPr="003F04B9">
        <w:rPr>
          <w:rFonts w:cs="Times New Roman"/>
        </w:rPr>
        <w:t xml:space="preserve">debt market in PNG consists predominately of central government securities issued by </w:t>
      </w:r>
      <w:r>
        <w:rPr>
          <w:rFonts w:cs="Times New Roman"/>
        </w:rPr>
        <w:t xml:space="preserve">the Department of Treasury </w:t>
      </w:r>
      <w:r w:rsidRPr="003F04B9">
        <w:rPr>
          <w:rFonts w:cs="Times New Roman"/>
        </w:rPr>
        <w:t>under the authority of Par</w:t>
      </w:r>
      <w:r w:rsidR="0052688D">
        <w:rPr>
          <w:rFonts w:cs="Times New Roman"/>
        </w:rPr>
        <w:t>liament and the Treasury Secretary</w:t>
      </w:r>
      <w:r w:rsidR="00BF1777">
        <w:rPr>
          <w:rFonts w:cs="Times New Roman"/>
        </w:rPr>
        <w:t xml:space="preserve"> and central bank bills</w:t>
      </w:r>
      <w:r w:rsidR="00AA214F">
        <w:rPr>
          <w:rFonts w:cs="Times New Roman"/>
        </w:rPr>
        <w:t xml:space="preserve"> (CBBs)</w:t>
      </w:r>
      <w:r w:rsidR="00BF1777">
        <w:rPr>
          <w:rFonts w:cs="Times New Roman"/>
        </w:rPr>
        <w:t xml:space="preserve"> issued by the B</w:t>
      </w:r>
      <w:r w:rsidR="006B1130">
        <w:rPr>
          <w:rFonts w:cs="Times New Roman"/>
        </w:rPr>
        <w:t>PNG</w:t>
      </w:r>
      <w:r w:rsidRPr="003F04B9">
        <w:rPr>
          <w:rFonts w:cs="Times New Roman"/>
        </w:rPr>
        <w:t>.</w:t>
      </w:r>
      <w:r w:rsidR="00BF1777">
        <w:rPr>
          <w:rFonts w:cs="Times New Roman"/>
        </w:rPr>
        <w:t xml:space="preserve"> </w:t>
      </w:r>
      <w:r w:rsidR="001B7C20">
        <w:rPr>
          <w:rFonts w:cs="Times New Roman"/>
        </w:rPr>
        <w:t xml:space="preserve"> </w:t>
      </w:r>
      <w:r w:rsidR="003561BC">
        <w:rPr>
          <w:rFonts w:cs="Times New Roman"/>
        </w:rPr>
        <w:t>Currently there is only</w:t>
      </w:r>
      <w:r w:rsidR="009C3520">
        <w:rPr>
          <w:rFonts w:cs="Times New Roman"/>
        </w:rPr>
        <w:t xml:space="preserve"> one outstanding </w:t>
      </w:r>
      <w:r w:rsidR="00791464">
        <w:rPr>
          <w:rFonts w:cs="Times New Roman"/>
        </w:rPr>
        <w:t xml:space="preserve">corporate </w:t>
      </w:r>
      <w:r w:rsidR="009C3520">
        <w:rPr>
          <w:rFonts w:cs="Times New Roman"/>
        </w:rPr>
        <w:t xml:space="preserve">bond </w:t>
      </w:r>
      <w:r w:rsidR="00E0299A">
        <w:rPr>
          <w:rFonts w:cs="Times New Roman"/>
        </w:rPr>
        <w:t>issue</w:t>
      </w:r>
      <w:r w:rsidR="003561BC">
        <w:rPr>
          <w:rFonts w:cs="Times New Roman"/>
        </w:rPr>
        <w:t xml:space="preserve"> from </w:t>
      </w:r>
      <w:r w:rsidR="001B7C20">
        <w:rPr>
          <w:rFonts w:cs="Times New Roman"/>
        </w:rPr>
        <w:t>B</w:t>
      </w:r>
      <w:r w:rsidR="009C3520">
        <w:rPr>
          <w:rFonts w:cs="Times New Roman"/>
        </w:rPr>
        <w:t xml:space="preserve">ank of </w:t>
      </w:r>
      <w:r w:rsidR="001B7C20">
        <w:rPr>
          <w:rFonts w:cs="Times New Roman"/>
        </w:rPr>
        <w:t>S</w:t>
      </w:r>
      <w:r w:rsidR="009C3520">
        <w:rPr>
          <w:rFonts w:cs="Times New Roman"/>
        </w:rPr>
        <w:t xml:space="preserve">outh </w:t>
      </w:r>
      <w:r w:rsidR="001B7C20">
        <w:rPr>
          <w:rFonts w:cs="Times New Roman"/>
        </w:rPr>
        <w:t>P</w:t>
      </w:r>
      <w:r w:rsidR="009C3520">
        <w:rPr>
          <w:rFonts w:cs="Times New Roman"/>
        </w:rPr>
        <w:t>acific</w:t>
      </w:r>
      <w:r w:rsidR="00791464">
        <w:rPr>
          <w:rFonts w:cs="Times New Roman"/>
        </w:rPr>
        <w:t>.</w:t>
      </w:r>
    </w:p>
    <w:p w14:paraId="3E366D11" w14:textId="1402C166" w:rsidR="00AD187D" w:rsidRPr="00AD187D" w:rsidRDefault="003460AE" w:rsidP="00AD187D">
      <w:pPr>
        <w:pStyle w:val="ListParagraph"/>
        <w:widowControl w:val="0"/>
        <w:numPr>
          <w:ilvl w:val="0"/>
          <w:numId w:val="2"/>
        </w:numPr>
        <w:spacing w:after="240"/>
        <w:ind w:left="0" w:firstLine="0"/>
        <w:contextualSpacing w:val="0"/>
        <w:jc w:val="both"/>
        <w:rPr>
          <w:rFonts w:cs="Times New Roman"/>
        </w:rPr>
      </w:pPr>
      <w:r>
        <w:rPr>
          <w:rFonts w:cs="Times New Roman"/>
        </w:rPr>
        <w:t>Treasury bills comprise 47</w:t>
      </w:r>
      <w:r w:rsidRPr="003F04B9">
        <w:rPr>
          <w:rFonts w:cs="Times New Roman"/>
        </w:rPr>
        <w:t>% of domestic governme</w:t>
      </w:r>
      <w:r w:rsidR="00E0299A">
        <w:rPr>
          <w:rFonts w:cs="Times New Roman"/>
        </w:rPr>
        <w:t>nt debt outstanding, F</w:t>
      </w:r>
      <w:r>
        <w:rPr>
          <w:rFonts w:cs="Times New Roman"/>
        </w:rPr>
        <w:t xml:space="preserve">igure </w:t>
      </w:r>
      <w:r w:rsidR="0026035D">
        <w:rPr>
          <w:rFonts w:cs="Times New Roman"/>
        </w:rPr>
        <w:t>1</w:t>
      </w:r>
      <w:r w:rsidR="003561BC">
        <w:rPr>
          <w:rFonts w:cs="Times New Roman"/>
        </w:rPr>
        <w:t xml:space="preserve">, </w:t>
      </w:r>
      <w:r w:rsidR="00E0299A">
        <w:rPr>
          <w:rFonts w:cs="Times New Roman"/>
        </w:rPr>
        <w:t>whil</w:t>
      </w:r>
      <w:r w:rsidR="006B1130">
        <w:rPr>
          <w:rFonts w:cs="Times New Roman"/>
        </w:rPr>
        <w:t xml:space="preserve">st this is </w:t>
      </w:r>
      <w:r w:rsidR="00E0299A">
        <w:rPr>
          <w:rFonts w:cs="Times New Roman"/>
        </w:rPr>
        <w:t xml:space="preserve">high, </w:t>
      </w:r>
      <w:r w:rsidRPr="003F04B9">
        <w:rPr>
          <w:rFonts w:cs="Times New Roman"/>
        </w:rPr>
        <w:t xml:space="preserve">the objective of </w:t>
      </w:r>
      <w:r w:rsidR="006B1130">
        <w:rPr>
          <w:rFonts w:cs="Times New Roman"/>
        </w:rPr>
        <w:t xml:space="preserve">the </w:t>
      </w:r>
      <w:r w:rsidR="008C187F">
        <w:rPr>
          <w:rFonts w:cs="Times New Roman"/>
        </w:rPr>
        <w:t>FMD</w:t>
      </w:r>
      <w:r w:rsidR="006B1130">
        <w:rPr>
          <w:rFonts w:cs="Times New Roman"/>
        </w:rPr>
        <w:t>’s</w:t>
      </w:r>
      <w:r w:rsidRPr="003F04B9">
        <w:rPr>
          <w:rFonts w:cs="Times New Roman"/>
        </w:rPr>
        <w:t xml:space="preserve"> </w:t>
      </w:r>
      <w:r w:rsidR="00E0299A">
        <w:rPr>
          <w:rFonts w:cs="Times New Roman"/>
        </w:rPr>
        <w:t>medium term debt management strategy</w:t>
      </w:r>
      <w:r w:rsidRPr="003F04B9">
        <w:rPr>
          <w:rFonts w:cs="Times New Roman"/>
        </w:rPr>
        <w:t xml:space="preserve"> is to gradually increase the percentage of </w:t>
      </w:r>
      <w:r>
        <w:rPr>
          <w:rFonts w:cs="Times New Roman"/>
        </w:rPr>
        <w:t>Government Inscribed Stock</w:t>
      </w:r>
      <w:r w:rsidR="003A0D03">
        <w:rPr>
          <w:rFonts w:cs="Times New Roman"/>
        </w:rPr>
        <w:t xml:space="preserve"> (GIS)</w:t>
      </w:r>
      <w:r>
        <w:rPr>
          <w:rFonts w:cs="Times New Roman"/>
        </w:rPr>
        <w:t xml:space="preserve"> to 61</w:t>
      </w:r>
      <w:r w:rsidRPr="003F04B9">
        <w:rPr>
          <w:rFonts w:cs="Times New Roman"/>
        </w:rPr>
        <w:t xml:space="preserve">% </w:t>
      </w:r>
      <w:r w:rsidR="0026035D">
        <w:rPr>
          <w:rFonts w:cs="Times New Roman"/>
        </w:rPr>
        <w:t xml:space="preserve">and decrease the percentage of T-bills to 39% </w:t>
      </w:r>
      <w:r w:rsidRPr="003F04B9">
        <w:rPr>
          <w:rFonts w:cs="Times New Roman"/>
        </w:rPr>
        <w:t>of total government domestic debt by 201</w:t>
      </w:r>
      <w:r>
        <w:rPr>
          <w:rFonts w:cs="Times New Roman"/>
        </w:rPr>
        <w:t>5</w:t>
      </w:r>
      <w:r>
        <w:rPr>
          <w:rStyle w:val="FootnoteReference"/>
          <w:rFonts w:cs="Times New Roman"/>
        </w:rPr>
        <w:footnoteReference w:id="7"/>
      </w:r>
      <w:r w:rsidRPr="003F04B9">
        <w:rPr>
          <w:rFonts w:cs="Times New Roman"/>
        </w:rPr>
        <w:t>.</w:t>
      </w:r>
      <w:r w:rsidR="00083E32">
        <w:rPr>
          <w:rFonts w:cs="Times New Roman"/>
        </w:rPr>
        <w:t xml:space="preserve"> However, this target would appear unattainable in the timeframe suggested.</w:t>
      </w:r>
    </w:p>
    <w:p w14:paraId="185029AD" w14:textId="099C19AC" w:rsidR="0044606B" w:rsidRDefault="00E2101C" w:rsidP="00E2101C">
      <w:pPr>
        <w:pStyle w:val="ListParagraph"/>
        <w:widowControl w:val="0"/>
        <w:ind w:left="0"/>
        <w:contextualSpacing w:val="0"/>
        <w:jc w:val="both"/>
        <w:rPr>
          <w:rFonts w:cs="Times New Roman"/>
          <w:i/>
          <w:noProof/>
          <w:sz w:val="20"/>
          <w:szCs w:val="20"/>
        </w:rPr>
      </w:pPr>
      <w:r w:rsidRPr="00E2101C">
        <w:rPr>
          <w:rFonts w:cs="Times New Roman"/>
          <w:i/>
          <w:noProof/>
          <w:sz w:val="20"/>
          <w:szCs w:val="20"/>
        </w:rPr>
        <w:t xml:space="preserve">  </w:t>
      </w:r>
      <w:r w:rsidR="009856F1">
        <w:rPr>
          <w:rFonts w:cs="Times New Roman"/>
          <w:i/>
          <w:noProof/>
          <w:sz w:val="20"/>
          <w:szCs w:val="20"/>
        </w:rPr>
        <w:t xml:space="preserve">                          </w:t>
      </w:r>
    </w:p>
    <w:p w14:paraId="2F9BDDE3" w14:textId="77777777" w:rsidR="009856F1" w:rsidRDefault="009856F1" w:rsidP="00E2101C">
      <w:pPr>
        <w:pStyle w:val="ListParagraph"/>
        <w:widowControl w:val="0"/>
        <w:ind w:left="0"/>
        <w:contextualSpacing w:val="0"/>
        <w:jc w:val="both"/>
        <w:rPr>
          <w:rFonts w:cs="Times New Roman"/>
          <w:i/>
          <w:noProof/>
          <w:sz w:val="20"/>
          <w:szCs w:val="20"/>
        </w:rPr>
      </w:pPr>
    </w:p>
    <w:p w14:paraId="4491848C" w14:textId="77777777" w:rsidR="009856F1" w:rsidRDefault="009856F1" w:rsidP="00E2101C">
      <w:pPr>
        <w:pStyle w:val="ListParagraph"/>
        <w:widowControl w:val="0"/>
        <w:ind w:left="0"/>
        <w:contextualSpacing w:val="0"/>
        <w:jc w:val="both"/>
        <w:rPr>
          <w:rFonts w:cs="Times New Roman"/>
          <w:i/>
          <w:noProof/>
          <w:sz w:val="20"/>
          <w:szCs w:val="20"/>
        </w:rPr>
      </w:pPr>
    </w:p>
    <w:p w14:paraId="1D96B705" w14:textId="77777777" w:rsidR="009856F1" w:rsidRDefault="009856F1" w:rsidP="00E2101C">
      <w:pPr>
        <w:pStyle w:val="ListParagraph"/>
        <w:widowControl w:val="0"/>
        <w:ind w:left="0"/>
        <w:contextualSpacing w:val="0"/>
        <w:jc w:val="both"/>
        <w:rPr>
          <w:rFonts w:cs="Times New Roman"/>
          <w:i/>
          <w:noProof/>
          <w:sz w:val="20"/>
          <w:szCs w:val="20"/>
        </w:rPr>
      </w:pPr>
    </w:p>
    <w:p w14:paraId="39F7EB39" w14:textId="77777777" w:rsidR="009856F1" w:rsidRDefault="009856F1" w:rsidP="00E2101C">
      <w:pPr>
        <w:pStyle w:val="ListParagraph"/>
        <w:widowControl w:val="0"/>
        <w:ind w:left="0"/>
        <w:contextualSpacing w:val="0"/>
        <w:jc w:val="both"/>
        <w:rPr>
          <w:rFonts w:cs="Times New Roman"/>
          <w:i/>
          <w:noProof/>
          <w:sz w:val="20"/>
          <w:szCs w:val="20"/>
        </w:rPr>
      </w:pPr>
    </w:p>
    <w:p w14:paraId="7707AA38" w14:textId="77777777" w:rsidR="009856F1" w:rsidRDefault="009856F1" w:rsidP="00E2101C">
      <w:pPr>
        <w:pStyle w:val="ListParagraph"/>
        <w:widowControl w:val="0"/>
        <w:ind w:left="0"/>
        <w:contextualSpacing w:val="0"/>
        <w:jc w:val="both"/>
        <w:rPr>
          <w:rFonts w:cs="Times New Roman"/>
          <w:i/>
          <w:noProof/>
          <w:sz w:val="20"/>
          <w:szCs w:val="20"/>
        </w:rPr>
      </w:pPr>
    </w:p>
    <w:p w14:paraId="7C1A0F3D" w14:textId="77777777" w:rsidR="009856F1" w:rsidRDefault="009856F1" w:rsidP="00E2101C">
      <w:pPr>
        <w:pStyle w:val="ListParagraph"/>
        <w:widowControl w:val="0"/>
        <w:ind w:left="0"/>
        <w:contextualSpacing w:val="0"/>
        <w:jc w:val="both"/>
        <w:rPr>
          <w:rFonts w:cs="Times New Roman"/>
          <w:i/>
          <w:noProof/>
          <w:sz w:val="20"/>
          <w:szCs w:val="20"/>
        </w:rPr>
      </w:pPr>
    </w:p>
    <w:p w14:paraId="0EC7A2C1" w14:textId="77777777" w:rsidR="009856F1" w:rsidRDefault="009856F1" w:rsidP="00E2101C">
      <w:pPr>
        <w:pStyle w:val="ListParagraph"/>
        <w:widowControl w:val="0"/>
        <w:ind w:left="0"/>
        <w:contextualSpacing w:val="0"/>
        <w:jc w:val="both"/>
        <w:rPr>
          <w:rFonts w:cs="Times New Roman"/>
          <w:i/>
          <w:noProof/>
          <w:sz w:val="20"/>
          <w:szCs w:val="20"/>
        </w:rPr>
      </w:pPr>
    </w:p>
    <w:p w14:paraId="1BBB88E0" w14:textId="77777777" w:rsidR="009856F1" w:rsidRDefault="009856F1" w:rsidP="00E2101C">
      <w:pPr>
        <w:pStyle w:val="ListParagraph"/>
        <w:widowControl w:val="0"/>
        <w:ind w:left="0"/>
        <w:contextualSpacing w:val="0"/>
        <w:jc w:val="both"/>
        <w:rPr>
          <w:rFonts w:cs="Times New Roman"/>
          <w:i/>
          <w:noProof/>
          <w:sz w:val="20"/>
          <w:szCs w:val="20"/>
        </w:rPr>
      </w:pPr>
    </w:p>
    <w:p w14:paraId="047ECD26" w14:textId="77777777" w:rsidR="009856F1" w:rsidRDefault="009856F1" w:rsidP="00E2101C">
      <w:pPr>
        <w:pStyle w:val="ListParagraph"/>
        <w:widowControl w:val="0"/>
        <w:ind w:left="0"/>
        <w:contextualSpacing w:val="0"/>
        <w:jc w:val="both"/>
        <w:rPr>
          <w:rFonts w:cs="Times New Roman"/>
          <w:i/>
          <w:noProof/>
          <w:sz w:val="20"/>
          <w:szCs w:val="20"/>
        </w:rPr>
      </w:pPr>
    </w:p>
    <w:p w14:paraId="0F90E122" w14:textId="77777777" w:rsidR="009856F1" w:rsidRDefault="009856F1" w:rsidP="00E2101C">
      <w:pPr>
        <w:pStyle w:val="ListParagraph"/>
        <w:widowControl w:val="0"/>
        <w:ind w:left="0"/>
        <w:contextualSpacing w:val="0"/>
        <w:jc w:val="both"/>
        <w:rPr>
          <w:rFonts w:cs="Times New Roman"/>
          <w:i/>
          <w:noProof/>
          <w:sz w:val="20"/>
          <w:szCs w:val="20"/>
        </w:rPr>
      </w:pPr>
    </w:p>
    <w:p w14:paraId="44197CEA" w14:textId="77777777" w:rsidR="009856F1" w:rsidRDefault="009856F1" w:rsidP="00E2101C">
      <w:pPr>
        <w:pStyle w:val="ListParagraph"/>
        <w:widowControl w:val="0"/>
        <w:ind w:left="0"/>
        <w:contextualSpacing w:val="0"/>
        <w:jc w:val="both"/>
        <w:rPr>
          <w:rFonts w:cs="Times New Roman"/>
          <w:i/>
          <w:noProof/>
          <w:sz w:val="20"/>
          <w:szCs w:val="20"/>
        </w:rPr>
      </w:pPr>
    </w:p>
    <w:p w14:paraId="20D9F341" w14:textId="77777777" w:rsidR="009856F1" w:rsidRDefault="009856F1" w:rsidP="00E2101C">
      <w:pPr>
        <w:pStyle w:val="ListParagraph"/>
        <w:widowControl w:val="0"/>
        <w:ind w:left="0"/>
        <w:contextualSpacing w:val="0"/>
        <w:jc w:val="both"/>
        <w:rPr>
          <w:rFonts w:cs="Times New Roman"/>
          <w:i/>
          <w:noProof/>
          <w:sz w:val="20"/>
          <w:szCs w:val="20"/>
        </w:rPr>
      </w:pPr>
    </w:p>
    <w:p w14:paraId="6455BAB6" w14:textId="77777777" w:rsidR="009856F1" w:rsidRDefault="009856F1" w:rsidP="00E2101C">
      <w:pPr>
        <w:pStyle w:val="ListParagraph"/>
        <w:widowControl w:val="0"/>
        <w:ind w:left="0"/>
        <w:contextualSpacing w:val="0"/>
        <w:jc w:val="both"/>
        <w:rPr>
          <w:rFonts w:cs="Times New Roman"/>
          <w:i/>
          <w:noProof/>
          <w:sz w:val="20"/>
          <w:szCs w:val="20"/>
        </w:rPr>
      </w:pPr>
    </w:p>
    <w:p w14:paraId="565BA2C5" w14:textId="77777777" w:rsidR="0044606B" w:rsidRDefault="0044606B" w:rsidP="00E2101C">
      <w:pPr>
        <w:pStyle w:val="ListParagraph"/>
        <w:widowControl w:val="0"/>
        <w:ind w:left="0"/>
        <w:contextualSpacing w:val="0"/>
        <w:jc w:val="both"/>
        <w:rPr>
          <w:rFonts w:cs="Times New Roman"/>
          <w:i/>
          <w:noProof/>
          <w:sz w:val="20"/>
          <w:szCs w:val="20"/>
        </w:rPr>
      </w:pPr>
    </w:p>
    <w:p w14:paraId="786F2001" w14:textId="26BEB1E0" w:rsidR="00741C4A" w:rsidRDefault="00E2101C" w:rsidP="0044606B">
      <w:pPr>
        <w:pStyle w:val="ListParagraph"/>
        <w:widowControl w:val="0"/>
        <w:ind w:left="0"/>
        <w:contextualSpacing w:val="0"/>
        <w:jc w:val="center"/>
        <w:rPr>
          <w:rFonts w:cs="Times New Roman"/>
          <w:b/>
          <w:noProof/>
          <w:u w:val="single"/>
        </w:rPr>
      </w:pPr>
      <w:r w:rsidRPr="00A75B58">
        <w:rPr>
          <w:rFonts w:cs="Times New Roman"/>
          <w:b/>
          <w:noProof/>
          <w:u w:val="single"/>
        </w:rPr>
        <w:lastRenderedPageBreak/>
        <w:t>Figure</w:t>
      </w:r>
      <w:r w:rsidR="001A4928">
        <w:rPr>
          <w:rFonts w:cs="Times New Roman"/>
          <w:b/>
          <w:noProof/>
          <w:u w:val="single"/>
        </w:rPr>
        <w:t xml:space="preserve"> 1:</w:t>
      </w:r>
      <w:r w:rsidR="00741C4A">
        <w:rPr>
          <w:rFonts w:cs="Times New Roman"/>
          <w:b/>
          <w:noProof/>
          <w:u w:val="single"/>
        </w:rPr>
        <w:t xml:space="preserve"> Domestic Government Debt Composition</w:t>
      </w:r>
      <w:r w:rsidR="0044606B">
        <w:rPr>
          <w:rFonts w:cs="Times New Roman"/>
          <w:b/>
          <w:noProof/>
          <w:u w:val="single"/>
        </w:rPr>
        <w:t xml:space="preserve"> (Q4 2014)</w:t>
      </w:r>
    </w:p>
    <w:p w14:paraId="5D2730FE" w14:textId="77777777" w:rsidR="0044606B" w:rsidRPr="00A75B58" w:rsidRDefault="0044606B" w:rsidP="0044606B">
      <w:pPr>
        <w:pStyle w:val="ListParagraph"/>
        <w:widowControl w:val="0"/>
        <w:ind w:left="0"/>
        <w:contextualSpacing w:val="0"/>
        <w:rPr>
          <w:rFonts w:cs="Times New Roman"/>
          <w:b/>
          <w:noProof/>
          <w:u w:val="single"/>
        </w:rPr>
      </w:pPr>
    </w:p>
    <w:p w14:paraId="48018116" w14:textId="4FAA457B" w:rsidR="0044606B" w:rsidRDefault="0044606B" w:rsidP="0044606B">
      <w:pPr>
        <w:widowControl w:val="0"/>
        <w:ind w:left="1440"/>
        <w:jc w:val="both"/>
        <w:rPr>
          <w:rFonts w:cs="Times New Roman"/>
        </w:rPr>
      </w:pPr>
      <w:r>
        <w:rPr>
          <w:noProof/>
          <w:lang w:eastAsia="en-US"/>
        </w:rPr>
        <w:drawing>
          <wp:inline distT="0" distB="0" distL="0" distR="0" wp14:anchorId="221A4EBC" wp14:editId="26099465">
            <wp:extent cx="3766820" cy="2204720"/>
            <wp:effectExtent l="0" t="0" r="17780" b="304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CBDF6CD" w14:textId="5DAFCDE8" w:rsidR="00E2101C" w:rsidRDefault="0044606B" w:rsidP="007F5D13">
      <w:pPr>
        <w:widowControl w:val="0"/>
        <w:rPr>
          <w:rFonts w:cs="Times New Roman"/>
          <w:i/>
          <w:noProof/>
          <w:sz w:val="20"/>
          <w:szCs w:val="20"/>
        </w:rPr>
      </w:pPr>
      <w:r>
        <w:rPr>
          <w:rFonts w:cs="Times New Roman"/>
        </w:rPr>
        <w:t xml:space="preserve">                         </w:t>
      </w:r>
      <w:r w:rsidR="00D156B0" w:rsidRPr="00741C4A">
        <w:rPr>
          <w:rFonts w:cs="Times New Roman"/>
          <w:i/>
          <w:noProof/>
          <w:sz w:val="20"/>
          <w:szCs w:val="20"/>
        </w:rPr>
        <w:t xml:space="preserve"> </w:t>
      </w:r>
      <w:r w:rsidR="00E2101C" w:rsidRPr="00741C4A">
        <w:rPr>
          <w:rFonts w:cs="Times New Roman"/>
          <w:i/>
          <w:noProof/>
          <w:sz w:val="20"/>
          <w:szCs w:val="20"/>
        </w:rPr>
        <w:t>Source: BPNG</w:t>
      </w:r>
    </w:p>
    <w:p w14:paraId="7EB1F687" w14:textId="77777777" w:rsidR="007F5D13" w:rsidRPr="007F5D13" w:rsidRDefault="007F5D13" w:rsidP="007F5D13">
      <w:pPr>
        <w:widowControl w:val="0"/>
        <w:rPr>
          <w:rFonts w:cs="Times New Roman"/>
          <w:i/>
          <w:noProof/>
          <w:sz w:val="20"/>
          <w:szCs w:val="20"/>
        </w:rPr>
      </w:pPr>
    </w:p>
    <w:p w14:paraId="0C4B9401" w14:textId="6D7BE4FC" w:rsidR="00EB5F21" w:rsidRPr="00954705" w:rsidRDefault="00C30EBB" w:rsidP="00F04788">
      <w:pPr>
        <w:pStyle w:val="ListParagraph"/>
        <w:widowControl w:val="0"/>
        <w:numPr>
          <w:ilvl w:val="0"/>
          <w:numId w:val="2"/>
        </w:numPr>
        <w:spacing w:after="240"/>
        <w:ind w:left="0" w:firstLine="0"/>
        <w:contextualSpacing w:val="0"/>
        <w:jc w:val="both"/>
        <w:rPr>
          <w:rFonts w:cs="Times New Roman"/>
        </w:rPr>
      </w:pPr>
      <w:r>
        <w:rPr>
          <w:rFonts w:cs="Times New Roman"/>
        </w:rPr>
        <w:t xml:space="preserve">The current issuance strategy for </w:t>
      </w:r>
      <w:r w:rsidR="003561BC">
        <w:rPr>
          <w:rFonts w:cs="Times New Roman"/>
        </w:rPr>
        <w:t>GIS</w:t>
      </w:r>
      <w:r>
        <w:rPr>
          <w:rFonts w:cs="Times New Roman"/>
        </w:rPr>
        <w:t xml:space="preserve"> is focused on 3, 5, 7, and 8-year benchmark lines. Currently, </w:t>
      </w:r>
      <w:r w:rsidR="003561BC">
        <w:rPr>
          <w:rFonts w:cs="Times New Roman"/>
        </w:rPr>
        <w:t xml:space="preserve">there are </w:t>
      </w:r>
      <w:r w:rsidR="002E0F43">
        <w:rPr>
          <w:rFonts w:cs="Times New Roman"/>
        </w:rPr>
        <w:t>23</w:t>
      </w:r>
      <w:r>
        <w:rPr>
          <w:rFonts w:cs="Times New Roman"/>
        </w:rPr>
        <w:t xml:space="preserve"> </w:t>
      </w:r>
      <w:r w:rsidR="003561BC">
        <w:rPr>
          <w:rFonts w:cs="Times New Roman"/>
        </w:rPr>
        <w:t xml:space="preserve">GIS </w:t>
      </w:r>
      <w:r>
        <w:rPr>
          <w:rFonts w:cs="Times New Roman"/>
        </w:rPr>
        <w:t xml:space="preserve">outstanding benchmark lines from August 2015 out to </w:t>
      </w:r>
      <w:r w:rsidR="00E0299A">
        <w:rPr>
          <w:rFonts w:cs="Times New Roman"/>
        </w:rPr>
        <w:t xml:space="preserve">May </w:t>
      </w:r>
      <w:r>
        <w:rPr>
          <w:rFonts w:cs="Times New Roman"/>
        </w:rPr>
        <w:t>2031. The average</w:t>
      </w:r>
      <w:r w:rsidR="001A639F">
        <w:rPr>
          <w:rFonts w:cs="Times New Roman"/>
        </w:rPr>
        <w:t xml:space="preserve"> outstanding </w:t>
      </w:r>
      <w:r w:rsidR="003561BC">
        <w:rPr>
          <w:rFonts w:cs="Times New Roman"/>
        </w:rPr>
        <w:t>amount</w:t>
      </w:r>
      <w:r w:rsidR="008C187F">
        <w:rPr>
          <w:rFonts w:cs="Times New Roman"/>
        </w:rPr>
        <w:t xml:space="preserve"> of individual benchmark lines stood at roughly </w:t>
      </w:r>
      <w:r w:rsidR="00E0299A">
        <w:rPr>
          <w:rFonts w:cs="Times New Roman"/>
        </w:rPr>
        <w:t>PGK</w:t>
      </w:r>
      <w:r w:rsidR="008C187F">
        <w:rPr>
          <w:rFonts w:cs="Times New Roman"/>
        </w:rPr>
        <w:t>306mm and in terms of distribution 78% of lines is</w:t>
      </w:r>
      <w:r w:rsidR="001A639F">
        <w:rPr>
          <w:rFonts w:cs="Times New Roman"/>
        </w:rPr>
        <w:t xml:space="preserve"> out to 2025</w:t>
      </w:r>
      <w:r w:rsidR="00E0299A">
        <w:rPr>
          <w:rFonts w:cs="Times New Roman"/>
        </w:rPr>
        <w:t>, inside 10-years,</w:t>
      </w:r>
      <w:r w:rsidR="001A639F">
        <w:rPr>
          <w:rFonts w:cs="Times New Roman"/>
        </w:rPr>
        <w:t xml:space="preserve"> with the remainder of 22% out to 2031.</w:t>
      </w:r>
      <w:r w:rsidR="008C187F">
        <w:rPr>
          <w:rFonts w:cs="Times New Roman"/>
        </w:rPr>
        <w:t xml:space="preserve"> </w:t>
      </w:r>
      <w:r w:rsidR="008C187F" w:rsidRPr="003F04B9">
        <w:rPr>
          <w:rFonts w:cs="Times New Roman"/>
        </w:rPr>
        <w:t>T-bills ar</w:t>
      </w:r>
      <w:r w:rsidR="008C187F">
        <w:rPr>
          <w:rFonts w:cs="Times New Roman"/>
        </w:rPr>
        <w:t xml:space="preserve">e issued with </w:t>
      </w:r>
      <w:r w:rsidR="008C187F" w:rsidRPr="003F04B9">
        <w:rPr>
          <w:rFonts w:cs="Times New Roman"/>
        </w:rPr>
        <w:t>maturities of 6-months (182 days) and 12-months (364 days)</w:t>
      </w:r>
      <w:r w:rsidR="008C187F">
        <w:rPr>
          <w:rFonts w:cs="Times New Roman"/>
        </w:rPr>
        <w:t>.</w:t>
      </w:r>
    </w:p>
    <w:p w14:paraId="4A79A0B0" w14:textId="77777777" w:rsidR="0026035D" w:rsidRDefault="0026035D" w:rsidP="00F04788">
      <w:pPr>
        <w:pStyle w:val="ListParagraph"/>
        <w:widowControl w:val="0"/>
        <w:numPr>
          <w:ilvl w:val="0"/>
          <w:numId w:val="2"/>
        </w:numPr>
        <w:spacing w:after="240"/>
        <w:ind w:left="0" w:firstLine="0"/>
        <w:contextualSpacing w:val="0"/>
        <w:jc w:val="both"/>
        <w:rPr>
          <w:rFonts w:cs="Times New Roman"/>
        </w:rPr>
      </w:pPr>
      <w:r>
        <w:rPr>
          <w:rFonts w:cs="Times New Roman"/>
        </w:rPr>
        <w:t>The maturity profile of domestic debt is uneven due to the high concentration of debt falling due within a 12-month period given that T-bills (less than one year) comprise roughly 47% of the total domestic composition. Coupled with inscribed stock falling due within the same12-month period increases the Treasury’s refinancing risk to roll over the debt as well as interest</w:t>
      </w:r>
      <w:r w:rsidR="00DC5A40">
        <w:rPr>
          <w:rFonts w:cs="Times New Roman"/>
        </w:rPr>
        <w:t xml:space="preserve"> ra</w:t>
      </w:r>
      <w:r w:rsidR="00E0299A">
        <w:rPr>
          <w:rFonts w:cs="Times New Roman"/>
        </w:rPr>
        <w:t xml:space="preserve">te risk where the Treasury may </w:t>
      </w:r>
      <w:r w:rsidR="00DC5A40">
        <w:rPr>
          <w:rFonts w:cs="Times New Roman"/>
        </w:rPr>
        <w:t>have to accept any unexpected increase in costs to rollover the debt.</w:t>
      </w:r>
    </w:p>
    <w:p w14:paraId="37164DDD" w14:textId="77777777" w:rsidR="00174A65" w:rsidRPr="00174A65" w:rsidRDefault="00DC5A40" w:rsidP="00F04788">
      <w:pPr>
        <w:pStyle w:val="ListParagraph"/>
        <w:widowControl w:val="0"/>
        <w:numPr>
          <w:ilvl w:val="0"/>
          <w:numId w:val="2"/>
        </w:numPr>
        <w:spacing w:after="240"/>
        <w:ind w:left="0" w:firstLine="0"/>
        <w:contextualSpacing w:val="0"/>
        <w:jc w:val="both"/>
        <w:rPr>
          <w:rFonts w:cs="Times New Roman"/>
        </w:rPr>
      </w:pPr>
      <w:r>
        <w:rPr>
          <w:rFonts w:cs="Times New Roman"/>
        </w:rPr>
        <w:t xml:space="preserve">The </w:t>
      </w:r>
      <w:r w:rsidR="00174A65">
        <w:rPr>
          <w:rFonts w:cs="Times New Roman"/>
        </w:rPr>
        <w:t xml:space="preserve">investor </w:t>
      </w:r>
      <w:r w:rsidR="008772DA">
        <w:rPr>
          <w:rFonts w:cs="Times New Roman"/>
        </w:rPr>
        <w:t xml:space="preserve">base is highly concentrated with a limited investor pool, which </w:t>
      </w:r>
      <w:r w:rsidR="00174A65" w:rsidRPr="00174A65">
        <w:rPr>
          <w:rFonts w:cs="Times New Roman"/>
        </w:rPr>
        <w:t>further contributes to the risks</w:t>
      </w:r>
      <w:r w:rsidR="00174A65">
        <w:rPr>
          <w:rFonts w:cs="Times New Roman"/>
        </w:rPr>
        <w:t xml:space="preserve"> </w:t>
      </w:r>
      <w:r w:rsidR="00174A65" w:rsidRPr="00174A65">
        <w:rPr>
          <w:rFonts w:cs="Times New Roman"/>
        </w:rPr>
        <w:t>inherent in the domestic debt portfolio</w:t>
      </w:r>
      <w:r>
        <w:rPr>
          <w:rFonts w:cs="Times New Roman"/>
        </w:rPr>
        <w:t xml:space="preserve">. </w:t>
      </w:r>
      <w:r w:rsidR="00AC21A9">
        <w:rPr>
          <w:rFonts w:cs="Times New Roman"/>
        </w:rPr>
        <w:t xml:space="preserve">The Bank of South Pacific (BSP) and the two </w:t>
      </w:r>
      <w:proofErr w:type="spellStart"/>
      <w:r w:rsidR="00AC21A9">
        <w:rPr>
          <w:rFonts w:cs="Times New Roman"/>
        </w:rPr>
        <w:t>Superannnuation</w:t>
      </w:r>
      <w:proofErr w:type="spellEnd"/>
      <w:r w:rsidR="00AC21A9">
        <w:rPr>
          <w:rFonts w:cs="Times New Roman"/>
        </w:rPr>
        <w:t xml:space="preserve"> Fun</w:t>
      </w:r>
      <w:r w:rsidR="008772DA">
        <w:rPr>
          <w:rFonts w:cs="Times New Roman"/>
        </w:rPr>
        <w:t>ds have a dominant position</w:t>
      </w:r>
      <w:r w:rsidR="00AC21A9">
        <w:rPr>
          <w:rFonts w:cs="Times New Roman"/>
        </w:rPr>
        <w:t xml:space="preserve"> of holdings of the public debt in relation to the</w:t>
      </w:r>
      <w:r w:rsidR="008772DA">
        <w:rPr>
          <w:rFonts w:cs="Times New Roman"/>
        </w:rPr>
        <w:t xml:space="preserve"> total.</w:t>
      </w:r>
      <w:r w:rsidR="00235320">
        <w:rPr>
          <w:rFonts w:cs="Times New Roman"/>
        </w:rPr>
        <w:t xml:space="preserve"> R</w:t>
      </w:r>
      <w:r w:rsidR="003561BC">
        <w:rPr>
          <w:rFonts w:cs="Times New Roman"/>
        </w:rPr>
        <w:t xml:space="preserve">efer Investor Base section </w:t>
      </w:r>
      <w:r w:rsidR="00235320">
        <w:rPr>
          <w:rFonts w:cs="Times New Roman"/>
        </w:rPr>
        <w:t>for further details.</w:t>
      </w:r>
    </w:p>
    <w:p w14:paraId="6DB5ED86" w14:textId="2FD391AB" w:rsidR="009A7307" w:rsidRDefault="00A4300C" w:rsidP="00F04788">
      <w:pPr>
        <w:pStyle w:val="ListParagraph"/>
        <w:widowControl w:val="0"/>
        <w:numPr>
          <w:ilvl w:val="0"/>
          <w:numId w:val="2"/>
        </w:numPr>
        <w:spacing w:after="240"/>
        <w:ind w:left="0" w:firstLine="0"/>
        <w:contextualSpacing w:val="0"/>
        <w:jc w:val="both"/>
      </w:pPr>
      <w:r w:rsidRPr="00741C4A">
        <w:t>PNG’s fiscal position</w:t>
      </w:r>
      <w:r w:rsidR="00E2101C">
        <w:t xml:space="preserve"> began running fiscal deficits in 2011 of </w:t>
      </w:r>
      <w:r w:rsidR="00E0299A">
        <w:t>PG</w:t>
      </w:r>
      <w:r w:rsidR="00EC1FA0">
        <w:t>K</w:t>
      </w:r>
      <w:r w:rsidR="00E2101C">
        <w:t xml:space="preserve">65.7mm </w:t>
      </w:r>
      <w:r w:rsidR="009E78DA">
        <w:t xml:space="preserve">with subsequent increases to </w:t>
      </w:r>
      <w:r w:rsidR="00341A40">
        <w:t>PG</w:t>
      </w:r>
      <w:r w:rsidR="00EC1FA0">
        <w:t>K</w:t>
      </w:r>
      <w:r w:rsidR="001E6B11">
        <w:t xml:space="preserve"> </w:t>
      </w:r>
      <w:r w:rsidR="009E78DA">
        <w:t>1</w:t>
      </w:r>
      <w:r w:rsidR="001E6B11">
        <w:t>,</w:t>
      </w:r>
      <w:r w:rsidR="005649C2">
        <w:t>377.9mm</w:t>
      </w:r>
      <w:r w:rsidR="009E78DA">
        <w:t xml:space="preserve"> in 2012</w:t>
      </w:r>
      <w:r w:rsidR="005649C2">
        <w:t xml:space="preserve">, </w:t>
      </w:r>
      <w:r w:rsidR="00341A40">
        <w:t>PG</w:t>
      </w:r>
      <w:r w:rsidR="005649C2">
        <w:t>K</w:t>
      </w:r>
      <w:r w:rsidR="001E6B11">
        <w:t xml:space="preserve"> 2,</w:t>
      </w:r>
      <w:r w:rsidR="005649C2">
        <w:t>672.4mm</w:t>
      </w:r>
      <w:r w:rsidR="00EC1FA0">
        <w:t xml:space="preserve"> in 2013, and </w:t>
      </w:r>
      <w:r w:rsidR="00341A40">
        <w:t>PG</w:t>
      </w:r>
      <w:r w:rsidR="005649C2">
        <w:t>K</w:t>
      </w:r>
      <w:r w:rsidR="001E6B11">
        <w:t xml:space="preserve"> </w:t>
      </w:r>
      <w:r w:rsidR="00EC1FA0">
        <w:t>2</w:t>
      </w:r>
      <w:r w:rsidR="0052688D">
        <w:t>,992.2</w:t>
      </w:r>
      <w:r w:rsidR="005649C2">
        <w:t>mm</w:t>
      </w:r>
      <w:r w:rsidR="009E78DA">
        <w:t xml:space="preserve"> in 2014</w:t>
      </w:r>
      <w:r w:rsidR="00EC1FA0">
        <w:t xml:space="preserve">, with projected </w:t>
      </w:r>
      <w:r w:rsidR="00741C4A">
        <w:t>fiscal deficits into 2017.</w:t>
      </w:r>
    </w:p>
    <w:p w14:paraId="532569EF" w14:textId="77777777" w:rsidR="00161D47" w:rsidRDefault="00161D47" w:rsidP="00161D47">
      <w:pPr>
        <w:pStyle w:val="ListParagraph"/>
        <w:widowControl w:val="0"/>
        <w:spacing w:after="240"/>
        <w:ind w:left="0"/>
        <w:contextualSpacing w:val="0"/>
        <w:jc w:val="both"/>
      </w:pPr>
    </w:p>
    <w:p w14:paraId="62880D7C" w14:textId="77777777" w:rsidR="001E6B11" w:rsidRDefault="001E6B11" w:rsidP="00161D47">
      <w:pPr>
        <w:pStyle w:val="ListParagraph"/>
        <w:widowControl w:val="0"/>
        <w:spacing w:after="240"/>
        <w:ind w:left="0"/>
        <w:contextualSpacing w:val="0"/>
        <w:jc w:val="both"/>
      </w:pPr>
    </w:p>
    <w:p w14:paraId="28B8260C" w14:textId="77777777" w:rsidR="00CD750D" w:rsidRDefault="00CD750D" w:rsidP="00161D47">
      <w:pPr>
        <w:pStyle w:val="ListParagraph"/>
        <w:widowControl w:val="0"/>
        <w:spacing w:after="240"/>
        <w:ind w:left="0"/>
        <w:contextualSpacing w:val="0"/>
        <w:jc w:val="both"/>
      </w:pPr>
    </w:p>
    <w:p w14:paraId="3B986271" w14:textId="77777777" w:rsidR="00CD750D" w:rsidRDefault="00CD750D" w:rsidP="00161D47">
      <w:pPr>
        <w:pStyle w:val="ListParagraph"/>
        <w:widowControl w:val="0"/>
        <w:spacing w:after="240"/>
        <w:ind w:left="0"/>
        <w:contextualSpacing w:val="0"/>
        <w:jc w:val="both"/>
      </w:pPr>
    </w:p>
    <w:p w14:paraId="77663080" w14:textId="0A56383D" w:rsidR="00E2101C" w:rsidRPr="00235320" w:rsidRDefault="00235320" w:rsidP="00E2101C">
      <w:pPr>
        <w:pStyle w:val="ListParagraph"/>
        <w:widowControl w:val="0"/>
        <w:spacing w:after="240"/>
        <w:ind w:left="0"/>
        <w:contextualSpacing w:val="0"/>
        <w:jc w:val="both"/>
        <w:rPr>
          <w:b/>
          <w:u w:val="single"/>
        </w:rPr>
      </w:pPr>
      <w:r w:rsidRPr="00235320">
        <w:rPr>
          <w:b/>
          <w:u w:val="single"/>
        </w:rPr>
        <w:lastRenderedPageBreak/>
        <w:t xml:space="preserve">Figure </w:t>
      </w:r>
      <w:r w:rsidR="005649C2">
        <w:rPr>
          <w:b/>
          <w:u w:val="single"/>
        </w:rPr>
        <w:t>2: Government Fiscal Operations</w:t>
      </w:r>
    </w:p>
    <w:p w14:paraId="265FA466" w14:textId="77777777" w:rsidR="005B7377" w:rsidRDefault="005B7377" w:rsidP="00741C4A">
      <w:pPr>
        <w:pStyle w:val="ListParagraph"/>
        <w:widowControl w:val="0"/>
        <w:ind w:left="0"/>
        <w:contextualSpacing w:val="0"/>
        <w:jc w:val="both"/>
      </w:pPr>
      <w:r>
        <w:rPr>
          <w:noProof/>
          <w:lang w:eastAsia="en-US"/>
        </w:rPr>
        <w:drawing>
          <wp:inline distT="0" distB="0" distL="0" distR="0" wp14:anchorId="324BEB80" wp14:editId="25966B16">
            <wp:extent cx="5486400" cy="264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643505"/>
                    </a:xfrm>
                    <a:prstGeom prst="rect">
                      <a:avLst/>
                    </a:prstGeom>
                    <a:noFill/>
                    <a:ln>
                      <a:noFill/>
                    </a:ln>
                  </pic:spPr>
                </pic:pic>
              </a:graphicData>
            </a:graphic>
          </wp:inline>
        </w:drawing>
      </w:r>
    </w:p>
    <w:p w14:paraId="3E32A74F" w14:textId="77777777" w:rsidR="00F9188A" w:rsidRDefault="009A7307" w:rsidP="00ED2119">
      <w:pPr>
        <w:pStyle w:val="ListParagraph"/>
        <w:widowControl w:val="0"/>
        <w:spacing w:after="240"/>
        <w:ind w:left="0"/>
        <w:contextualSpacing w:val="0"/>
        <w:jc w:val="both"/>
        <w:rPr>
          <w:rFonts w:cs="Times New Roman"/>
          <w:i/>
          <w:sz w:val="22"/>
          <w:szCs w:val="22"/>
        </w:rPr>
      </w:pPr>
      <w:r w:rsidRPr="00BF1777">
        <w:rPr>
          <w:rFonts w:cs="Times New Roman"/>
          <w:i/>
          <w:sz w:val="22"/>
          <w:szCs w:val="22"/>
        </w:rPr>
        <w:t xml:space="preserve">Source: </w:t>
      </w:r>
      <w:r w:rsidR="00BF1777">
        <w:rPr>
          <w:rFonts w:cs="Times New Roman"/>
          <w:i/>
          <w:sz w:val="22"/>
          <w:szCs w:val="22"/>
        </w:rPr>
        <w:t xml:space="preserve">BPNG, </w:t>
      </w:r>
      <w:r w:rsidRPr="00BF1777">
        <w:rPr>
          <w:rFonts w:cs="Times New Roman"/>
          <w:i/>
          <w:sz w:val="22"/>
          <w:szCs w:val="22"/>
        </w:rPr>
        <w:t>2015 National Budget. 2014 outcome is preliminary</w:t>
      </w:r>
    </w:p>
    <w:p w14:paraId="38495BC4" w14:textId="715CA5EC" w:rsidR="00ED2119" w:rsidRDefault="00CF3044" w:rsidP="00F04788">
      <w:pPr>
        <w:pStyle w:val="ListParagraph"/>
        <w:widowControl w:val="0"/>
        <w:numPr>
          <w:ilvl w:val="0"/>
          <w:numId w:val="2"/>
        </w:numPr>
        <w:spacing w:after="240"/>
        <w:ind w:left="0" w:firstLine="0"/>
        <w:contextualSpacing w:val="0"/>
        <w:jc w:val="both"/>
      </w:pPr>
      <w:r w:rsidRPr="00EC1FA0">
        <w:t>PNG made its firs</w:t>
      </w:r>
      <w:r w:rsidR="00235320" w:rsidRPr="00EC1FA0">
        <w:t>t two shipments</w:t>
      </w:r>
      <w:r w:rsidR="00235320">
        <w:t xml:space="preserve"> </w:t>
      </w:r>
      <w:r w:rsidR="00125096">
        <w:t xml:space="preserve">of </w:t>
      </w:r>
      <w:r w:rsidR="00235320">
        <w:t xml:space="preserve">LNG in 2014. </w:t>
      </w:r>
      <w:r>
        <w:t>T</w:t>
      </w:r>
      <w:r w:rsidR="001D7BD9" w:rsidRPr="001D7BD9">
        <w:t>he anticipated revenue fro</w:t>
      </w:r>
      <w:r>
        <w:t xml:space="preserve">m the ExxonMobil-led project encouraged the </w:t>
      </w:r>
      <w:r w:rsidR="00235320">
        <w:t xml:space="preserve">Government to commit itself to increased budgetary expenditures for development of </w:t>
      </w:r>
      <w:r w:rsidR="001D7BD9" w:rsidRPr="001D7BD9">
        <w:t>public infrastructure, upgrading education and health services</w:t>
      </w:r>
      <w:r w:rsidR="00235320">
        <w:t>.</w:t>
      </w:r>
      <w:r w:rsidR="001D7BD9" w:rsidRPr="001D7BD9">
        <w:t xml:space="preserve"> </w:t>
      </w:r>
      <w:r w:rsidR="00EC1FA0">
        <w:t>T</w:t>
      </w:r>
      <w:r w:rsidR="001D7BD9" w:rsidRPr="001D7BD9">
        <w:t xml:space="preserve">he main benefits of LNG production </w:t>
      </w:r>
      <w:r w:rsidR="00EC1FA0">
        <w:t xml:space="preserve">would </w:t>
      </w:r>
      <w:r w:rsidR="001D7BD9" w:rsidRPr="001D7BD9">
        <w:t>come from the revenue to the Government and local investors, and how productively this revenue is then reinvested in the local economy.</w:t>
      </w:r>
      <w:r w:rsidR="00235320">
        <w:t xml:space="preserve"> </w:t>
      </w:r>
      <w:r w:rsidR="001D7BD9" w:rsidRPr="001D7BD9">
        <w:t xml:space="preserve">With dwindling revenue from the minerals sector overall, LNG was expected to provide a growing contribution to Government revenue and help restrain the accumulating deficit. </w:t>
      </w:r>
      <w:r w:rsidR="0024683E">
        <w:t>However, early production, when prices were higher would</w:t>
      </w:r>
      <w:r w:rsidR="001D7BD9" w:rsidRPr="001D7BD9">
        <w:t xml:space="preserve"> have boosted G</w:t>
      </w:r>
      <w:r w:rsidR="0024683E">
        <w:t>overnment revenue due for 2014</w:t>
      </w:r>
      <w:r w:rsidR="003A0D03">
        <w:t>,</w:t>
      </w:r>
      <w:r w:rsidR="0024683E">
        <w:t xml:space="preserve"> but </w:t>
      </w:r>
      <w:r w:rsidR="003A0D03">
        <w:t xml:space="preserve">LNG </w:t>
      </w:r>
      <w:r w:rsidR="0024683E">
        <w:t xml:space="preserve">shipments </w:t>
      </w:r>
      <w:r w:rsidR="003A0D03">
        <w:t>commenced</w:t>
      </w:r>
      <w:r w:rsidR="0024683E">
        <w:t xml:space="preserve"> after the global commodity decline.</w:t>
      </w:r>
    </w:p>
    <w:p w14:paraId="71522E6A" w14:textId="591AB9F4" w:rsidR="003C55B5" w:rsidRPr="003C55B5" w:rsidRDefault="003C55B5" w:rsidP="00F04788">
      <w:pPr>
        <w:pStyle w:val="ListParagraph"/>
        <w:widowControl w:val="0"/>
        <w:numPr>
          <w:ilvl w:val="0"/>
          <w:numId w:val="2"/>
        </w:numPr>
        <w:spacing w:after="240"/>
        <w:ind w:left="0" w:firstLine="0"/>
        <w:contextualSpacing w:val="0"/>
        <w:jc w:val="both"/>
      </w:pPr>
      <w:r w:rsidRPr="0024683E">
        <w:t>Accrued tax credits.</w:t>
      </w:r>
      <w:r>
        <w:t xml:space="preserve"> The government provided energy firms for exploration and development with tax credits. The accrued tax credits are</w:t>
      </w:r>
      <w:r w:rsidR="005D0207">
        <w:t xml:space="preserve"> </w:t>
      </w:r>
      <w:r w:rsidR="008B19E2">
        <w:t>reducing the</w:t>
      </w:r>
      <w:r w:rsidR="005D0207">
        <w:t xml:space="preserve"> energy companies</w:t>
      </w:r>
      <w:r w:rsidR="008B19E2">
        <w:t xml:space="preserve"> tax remittance back to the government.</w:t>
      </w:r>
    </w:p>
    <w:p w14:paraId="78CB8BE5" w14:textId="77777777" w:rsidR="00584A99" w:rsidRPr="00584A99" w:rsidRDefault="00584A99" w:rsidP="00F04788">
      <w:pPr>
        <w:pStyle w:val="ListParagraph"/>
        <w:widowControl w:val="0"/>
        <w:numPr>
          <w:ilvl w:val="0"/>
          <w:numId w:val="2"/>
        </w:numPr>
        <w:spacing w:after="240"/>
        <w:ind w:left="0" w:firstLine="0"/>
        <w:contextualSpacing w:val="0"/>
        <w:jc w:val="both"/>
      </w:pPr>
      <w:r w:rsidRPr="00584A99">
        <w:t>P</w:t>
      </w:r>
      <w:r w:rsidR="00D22491">
        <w:t xml:space="preserve">apua </w:t>
      </w:r>
      <w:r w:rsidRPr="00584A99">
        <w:t>N</w:t>
      </w:r>
      <w:r w:rsidR="00D22491">
        <w:t xml:space="preserve">ew </w:t>
      </w:r>
      <w:r w:rsidRPr="00584A99">
        <w:t>G</w:t>
      </w:r>
      <w:r w:rsidR="00D22491">
        <w:t>uinea</w:t>
      </w:r>
      <w:r w:rsidRPr="00584A99">
        <w:t>’s credit ratings:</w:t>
      </w:r>
    </w:p>
    <w:p w14:paraId="33C2C5E8" w14:textId="77777777" w:rsidR="00584A99" w:rsidRDefault="00584A99" w:rsidP="00F04788">
      <w:pPr>
        <w:pStyle w:val="ListParagraph"/>
        <w:widowControl w:val="0"/>
        <w:numPr>
          <w:ilvl w:val="0"/>
          <w:numId w:val="12"/>
        </w:numPr>
        <w:spacing w:after="240"/>
        <w:jc w:val="both"/>
      </w:pPr>
      <w:r>
        <w:t>Standard &amp; Poor’s: B+ stable</w:t>
      </w:r>
      <w:r w:rsidR="0087384D">
        <w:t>;</w:t>
      </w:r>
    </w:p>
    <w:p w14:paraId="26857790" w14:textId="104A5BD1" w:rsidR="00A65D6F" w:rsidRDefault="00584A99" w:rsidP="00A65D6F">
      <w:pPr>
        <w:pStyle w:val="ListParagraph"/>
        <w:widowControl w:val="0"/>
        <w:numPr>
          <w:ilvl w:val="0"/>
          <w:numId w:val="12"/>
        </w:numPr>
        <w:spacing w:after="240"/>
        <w:jc w:val="both"/>
      </w:pPr>
      <w:r>
        <w:t>Moody’s: B1 negative</w:t>
      </w:r>
      <w:r w:rsidR="00F6503C">
        <w:t>.</w:t>
      </w:r>
    </w:p>
    <w:p w14:paraId="7380B45A" w14:textId="77777777" w:rsidR="00AE4DD6" w:rsidRPr="003F04B9" w:rsidRDefault="005A67B4" w:rsidP="00AE4DD6">
      <w:pPr>
        <w:widowControl w:val="0"/>
        <w:spacing w:after="240"/>
        <w:jc w:val="center"/>
        <w:rPr>
          <w:rFonts w:cs="Times New Roman"/>
          <w:b/>
          <w:noProof/>
        </w:rPr>
      </w:pPr>
      <w:r w:rsidRPr="003F04B9">
        <w:rPr>
          <w:rFonts w:cs="Times New Roman"/>
          <w:b/>
          <w:noProof/>
        </w:rPr>
        <w:t xml:space="preserve">B. </w:t>
      </w:r>
      <w:r w:rsidR="00AE4DD6" w:rsidRPr="003F04B9">
        <w:rPr>
          <w:rFonts w:cs="Times New Roman"/>
          <w:b/>
          <w:noProof/>
        </w:rPr>
        <w:t>Legal &amp; Regulatory Environment</w:t>
      </w:r>
    </w:p>
    <w:p w14:paraId="2B93C314" w14:textId="77777777" w:rsidR="009C00B7" w:rsidRPr="00830FD1" w:rsidRDefault="00830FD1" w:rsidP="00830FD1">
      <w:pPr>
        <w:pStyle w:val="ListParagraph"/>
        <w:widowControl w:val="0"/>
        <w:numPr>
          <w:ilvl w:val="0"/>
          <w:numId w:val="2"/>
        </w:numPr>
        <w:spacing w:after="240"/>
        <w:ind w:left="0" w:firstLine="0"/>
        <w:contextualSpacing w:val="0"/>
        <w:jc w:val="both"/>
        <w:rPr>
          <w:rFonts w:cs="Times New Roman"/>
        </w:rPr>
      </w:pPr>
      <w:r w:rsidRPr="00830FD1">
        <w:rPr>
          <w:rFonts w:cs="Times New Roman"/>
        </w:rPr>
        <w:t>The legal and regulatory framework is critical to the structure, functionality, and development of government securities and capital markets. The regulatory framework for government securities will typically address: (</w:t>
      </w:r>
      <w:proofErr w:type="spellStart"/>
      <w:r w:rsidRPr="00830FD1">
        <w:rPr>
          <w:rFonts w:cs="Times New Roman"/>
        </w:rPr>
        <w:t>i</w:t>
      </w:r>
      <w:proofErr w:type="spellEnd"/>
      <w:r w:rsidRPr="00830FD1">
        <w:rPr>
          <w:rFonts w:cs="Times New Roman"/>
        </w:rPr>
        <w:t xml:space="preserve">) maintaining fair, efficient, and transparent markets; (ii) reducing systemic risk; and (iii) protecting investors. </w:t>
      </w:r>
      <w:r w:rsidR="00361A3B">
        <w:rPr>
          <w:rFonts w:cs="Times New Roman"/>
        </w:rPr>
        <w:t>As the government is</w:t>
      </w:r>
      <w:r w:rsidRPr="00830FD1">
        <w:rPr>
          <w:rFonts w:cs="Times New Roman"/>
        </w:rPr>
        <w:t xml:space="preserve"> </w:t>
      </w:r>
      <w:r w:rsidR="003A0D03">
        <w:rPr>
          <w:rFonts w:cs="Times New Roman"/>
        </w:rPr>
        <w:t xml:space="preserve">the </w:t>
      </w:r>
      <w:r w:rsidRPr="00830FD1">
        <w:rPr>
          <w:rFonts w:cs="Times New Roman"/>
        </w:rPr>
        <w:t xml:space="preserve">borrower and </w:t>
      </w:r>
      <w:r w:rsidR="003A0D03">
        <w:rPr>
          <w:rFonts w:cs="Times New Roman"/>
        </w:rPr>
        <w:t xml:space="preserve">the </w:t>
      </w:r>
      <w:r w:rsidRPr="00830FD1">
        <w:rPr>
          <w:rFonts w:cs="Times New Roman"/>
        </w:rPr>
        <w:t xml:space="preserve">issuer of securities, legislation should provide the </w:t>
      </w:r>
      <w:r w:rsidR="00361A3B">
        <w:rPr>
          <w:rFonts w:cs="Times New Roman"/>
        </w:rPr>
        <w:t xml:space="preserve">proper </w:t>
      </w:r>
      <w:r w:rsidRPr="00830FD1">
        <w:rPr>
          <w:rFonts w:cs="Times New Roman"/>
        </w:rPr>
        <w:t xml:space="preserve">authority for the government agency(s) to borrow on behalf of the government, the </w:t>
      </w:r>
      <w:r w:rsidRPr="00830FD1">
        <w:rPr>
          <w:rFonts w:cs="Times New Roman"/>
        </w:rPr>
        <w:lastRenderedPageBreak/>
        <w:t>ability to place ceilings on public debt, and to authorize different government entities to act in these markets, such as the central</w:t>
      </w:r>
      <w:r w:rsidR="00361A3B">
        <w:rPr>
          <w:rFonts w:cs="Times New Roman"/>
        </w:rPr>
        <w:t xml:space="preserve"> bank as the fiscal agent</w:t>
      </w:r>
      <w:r w:rsidRPr="00830FD1">
        <w:rPr>
          <w:rFonts w:cs="Times New Roman"/>
        </w:rPr>
        <w:t xml:space="preserve">. In terms of market participants and investors, an appropriate set of rules and regulations, which are in line with the current status of the local markets, should govern the organization of the </w:t>
      </w:r>
      <w:r w:rsidR="00361A3B">
        <w:rPr>
          <w:rFonts w:cs="Times New Roman"/>
        </w:rPr>
        <w:t>primary and secondary markets for</w:t>
      </w:r>
      <w:r w:rsidRPr="00830FD1">
        <w:rPr>
          <w:rFonts w:cs="Times New Roman"/>
        </w:rPr>
        <w:t xml:space="preserve"> governmen</w:t>
      </w:r>
      <w:r w:rsidR="00361A3B">
        <w:rPr>
          <w:rFonts w:cs="Times New Roman"/>
        </w:rPr>
        <w:t>t securities</w:t>
      </w:r>
      <w:r w:rsidRPr="00830FD1">
        <w:rPr>
          <w:rFonts w:cs="Times New Roman"/>
        </w:rPr>
        <w:t xml:space="preserve"> and the roles of different types of </w:t>
      </w:r>
      <w:proofErr w:type="gramStart"/>
      <w:r w:rsidRPr="00830FD1">
        <w:rPr>
          <w:rFonts w:cs="Times New Roman"/>
        </w:rPr>
        <w:t>market</w:t>
      </w:r>
      <w:proofErr w:type="gramEnd"/>
      <w:r w:rsidRPr="00830FD1">
        <w:rPr>
          <w:rFonts w:cs="Times New Roman"/>
        </w:rPr>
        <w:t xml:space="preserve"> participants.</w:t>
      </w:r>
    </w:p>
    <w:p w14:paraId="5EAF9CC6" w14:textId="77777777" w:rsidR="00C11039" w:rsidRDefault="00CF4ED0" w:rsidP="00F04788">
      <w:pPr>
        <w:pStyle w:val="ListParagraph"/>
        <w:widowControl w:val="0"/>
        <w:numPr>
          <w:ilvl w:val="0"/>
          <w:numId w:val="2"/>
        </w:numPr>
        <w:spacing w:after="240"/>
        <w:ind w:left="0" w:firstLine="0"/>
        <w:contextualSpacing w:val="0"/>
        <w:jc w:val="both"/>
        <w:rPr>
          <w:rFonts w:cs="Times New Roman"/>
        </w:rPr>
      </w:pPr>
      <w:r w:rsidRPr="003F04B9">
        <w:rPr>
          <w:rFonts w:cs="Times New Roman"/>
        </w:rPr>
        <w:t>The authority</w:t>
      </w:r>
      <w:r w:rsidR="00B35B50" w:rsidRPr="003F04B9">
        <w:rPr>
          <w:rFonts w:cs="Times New Roman"/>
        </w:rPr>
        <w:t xml:space="preserve"> for the Treasury Department and the Minister of Finance to </w:t>
      </w:r>
      <w:r w:rsidR="00361A3B">
        <w:rPr>
          <w:rFonts w:cs="Times New Roman"/>
        </w:rPr>
        <w:t>issue government securities,</w:t>
      </w:r>
      <w:r w:rsidR="00B35B50" w:rsidRPr="003F04B9">
        <w:rPr>
          <w:rFonts w:cs="Times New Roman"/>
        </w:rPr>
        <w:t xml:space="preserve"> on behave of the Government of PNG</w:t>
      </w:r>
      <w:r w:rsidR="00361A3B">
        <w:rPr>
          <w:rFonts w:cs="Times New Roman"/>
        </w:rPr>
        <w:t>,</w:t>
      </w:r>
      <w:r w:rsidR="00B35B50" w:rsidRPr="003F04B9">
        <w:rPr>
          <w:rFonts w:cs="Times New Roman"/>
        </w:rPr>
        <w:t xml:space="preserve"> is clearly articulated in the Loans Securities Act 1960 and the Treasury Bills Act 1974. </w:t>
      </w:r>
    </w:p>
    <w:p w14:paraId="14D6B7A8" w14:textId="170D4191" w:rsidR="00083E32" w:rsidRPr="00083E32" w:rsidRDefault="00083E32" w:rsidP="00083E32">
      <w:pPr>
        <w:pStyle w:val="ListParagraph"/>
        <w:widowControl w:val="0"/>
        <w:numPr>
          <w:ilvl w:val="0"/>
          <w:numId w:val="2"/>
        </w:numPr>
        <w:spacing w:after="240"/>
        <w:ind w:left="0" w:firstLine="0"/>
        <w:contextualSpacing w:val="0"/>
        <w:jc w:val="both"/>
        <w:rPr>
          <w:rFonts w:cs="Times New Roman"/>
        </w:rPr>
      </w:pPr>
      <w:r w:rsidRPr="00083E32">
        <w:rPr>
          <w:rFonts w:cs="Times New Roman"/>
          <w:lang w:val="en-AU"/>
        </w:rPr>
        <w:t xml:space="preserve">The </w:t>
      </w:r>
      <w:r>
        <w:rPr>
          <w:rFonts w:cs="Times New Roman"/>
          <w:lang w:val="en-AU"/>
        </w:rPr>
        <w:t xml:space="preserve">Loans Act stipulates that the </w:t>
      </w:r>
      <w:r w:rsidRPr="00083E32">
        <w:rPr>
          <w:rFonts w:cs="Times New Roman"/>
          <w:lang w:val="en-AU"/>
        </w:rPr>
        <w:t xml:space="preserve">Head of the State, acting on advice, may, by order, authorise the Minister to pay off, repurchase or redeem a loan raised by the State, or to convert any such loan into any </w:t>
      </w:r>
      <w:r>
        <w:rPr>
          <w:rFonts w:cs="Times New Roman"/>
          <w:lang w:val="en-AU"/>
        </w:rPr>
        <w:t>other loan undertaken by the State. This would allow for buybacks and switch operations for outstanding government securities.</w:t>
      </w:r>
    </w:p>
    <w:p w14:paraId="121E2EDA" w14:textId="65FB3B19" w:rsidR="00CB0CC1" w:rsidRPr="00CC7495" w:rsidRDefault="00CC7495" w:rsidP="00CC7495">
      <w:pPr>
        <w:pStyle w:val="ListParagraph"/>
        <w:widowControl w:val="0"/>
        <w:numPr>
          <w:ilvl w:val="0"/>
          <w:numId w:val="2"/>
        </w:numPr>
        <w:spacing w:after="240"/>
        <w:ind w:left="0" w:firstLine="0"/>
        <w:contextualSpacing w:val="0"/>
        <w:jc w:val="both"/>
        <w:rPr>
          <w:rFonts w:cs="Times New Roman"/>
        </w:rPr>
      </w:pPr>
      <w:r w:rsidRPr="003F04B9">
        <w:rPr>
          <w:rFonts w:cs="Times New Roman"/>
        </w:rPr>
        <w:t>The Central Banking Act 2000</w:t>
      </w:r>
      <w:r w:rsidR="00361A3B">
        <w:rPr>
          <w:rFonts w:cs="Times New Roman"/>
        </w:rPr>
        <w:t xml:space="preserve"> stipulates </w:t>
      </w:r>
      <w:r w:rsidR="003A0D03">
        <w:rPr>
          <w:rFonts w:cs="Times New Roman"/>
        </w:rPr>
        <w:t xml:space="preserve">that </w:t>
      </w:r>
      <w:r w:rsidR="00361A3B">
        <w:rPr>
          <w:rFonts w:cs="Times New Roman"/>
        </w:rPr>
        <w:t xml:space="preserve">the Bank of PNG </w:t>
      </w:r>
      <w:r w:rsidR="007A5381">
        <w:rPr>
          <w:rFonts w:cs="Times New Roman"/>
        </w:rPr>
        <w:t>as</w:t>
      </w:r>
      <w:r w:rsidR="00361A3B">
        <w:rPr>
          <w:rFonts w:cs="Times New Roman"/>
        </w:rPr>
        <w:t xml:space="preserve"> </w:t>
      </w:r>
      <w:r w:rsidR="003A0D03">
        <w:rPr>
          <w:rFonts w:cs="Times New Roman"/>
        </w:rPr>
        <w:t xml:space="preserve">the </w:t>
      </w:r>
      <w:r w:rsidR="00361A3B">
        <w:rPr>
          <w:rFonts w:cs="Times New Roman"/>
        </w:rPr>
        <w:t>banker and f</w:t>
      </w:r>
      <w:r w:rsidRPr="003F04B9">
        <w:rPr>
          <w:rFonts w:cs="Times New Roman"/>
        </w:rPr>
        <w:t>isc</w:t>
      </w:r>
      <w:r w:rsidR="00361A3B">
        <w:rPr>
          <w:rFonts w:cs="Times New Roman"/>
        </w:rPr>
        <w:t>al agent to the G</w:t>
      </w:r>
      <w:r w:rsidRPr="003F04B9">
        <w:rPr>
          <w:rFonts w:cs="Times New Roman"/>
        </w:rPr>
        <w:t xml:space="preserve">overnment and </w:t>
      </w:r>
      <w:r w:rsidR="003A0D03">
        <w:rPr>
          <w:rFonts w:cs="Times New Roman"/>
        </w:rPr>
        <w:t xml:space="preserve">to </w:t>
      </w:r>
      <w:r w:rsidRPr="003F04B9">
        <w:rPr>
          <w:rFonts w:cs="Times New Roman"/>
        </w:rPr>
        <w:t xml:space="preserve">Treasury. </w:t>
      </w:r>
      <w:r w:rsidR="00B35B50" w:rsidRPr="003F04B9">
        <w:rPr>
          <w:rFonts w:cs="Times New Roman"/>
        </w:rPr>
        <w:t xml:space="preserve"> </w:t>
      </w:r>
      <w:r w:rsidR="00CB0CC1" w:rsidRPr="00CC7495">
        <w:rPr>
          <w:rFonts w:cs="Times New Roman"/>
        </w:rPr>
        <w:t xml:space="preserve">Under the memorandum of understanding, the BPNG acts as an agent in relation to debt issuance, payment of interest, and redemption of government securities. </w:t>
      </w:r>
      <w:r w:rsidRPr="00CC7495">
        <w:rPr>
          <w:rFonts w:cs="Times New Roman"/>
        </w:rPr>
        <w:t>The Treasury’s</w:t>
      </w:r>
      <w:r w:rsidR="00361A3B">
        <w:rPr>
          <w:rFonts w:cs="Times New Roman"/>
        </w:rPr>
        <w:t xml:space="preserve"> </w:t>
      </w:r>
      <w:r w:rsidRPr="00CC7495">
        <w:rPr>
          <w:rFonts w:cs="Times New Roman"/>
        </w:rPr>
        <w:t>FMD initiates these activities</w:t>
      </w:r>
      <w:r w:rsidR="00CB0CC1">
        <w:t>.</w:t>
      </w:r>
    </w:p>
    <w:p w14:paraId="2AF80949" w14:textId="77777777" w:rsidR="00EE21B0" w:rsidRPr="00EE21B0" w:rsidRDefault="00C11039" w:rsidP="00EE21B0">
      <w:pPr>
        <w:pStyle w:val="ListParagraph"/>
        <w:widowControl w:val="0"/>
        <w:numPr>
          <w:ilvl w:val="0"/>
          <w:numId w:val="2"/>
        </w:numPr>
        <w:spacing w:after="240"/>
        <w:ind w:left="0" w:firstLine="0"/>
        <w:contextualSpacing w:val="0"/>
        <w:jc w:val="both"/>
        <w:rPr>
          <w:rFonts w:cs="Times New Roman"/>
        </w:rPr>
      </w:pPr>
      <w:r>
        <w:rPr>
          <w:rFonts w:cs="Times New Roman"/>
        </w:rPr>
        <w:t xml:space="preserve">The Information Memorandum for </w:t>
      </w:r>
      <w:r w:rsidR="00CC7495">
        <w:rPr>
          <w:rFonts w:cs="Times New Roman"/>
        </w:rPr>
        <w:t xml:space="preserve">Government </w:t>
      </w:r>
      <w:r>
        <w:rPr>
          <w:rFonts w:cs="Times New Roman"/>
        </w:rPr>
        <w:t xml:space="preserve">Inscribed Stocks dated 30 May 2007 </w:t>
      </w:r>
      <w:r w:rsidR="00FF2AF8">
        <w:rPr>
          <w:rFonts w:cs="Times New Roman"/>
        </w:rPr>
        <w:t>and</w:t>
      </w:r>
      <w:r w:rsidR="00FF2AF8" w:rsidRPr="00FF2AF8">
        <w:rPr>
          <w:rFonts w:cs="Times New Roman"/>
        </w:rPr>
        <w:t xml:space="preserve"> </w:t>
      </w:r>
      <w:r w:rsidR="003A0D03">
        <w:rPr>
          <w:rFonts w:cs="Times New Roman"/>
        </w:rPr>
        <w:t xml:space="preserve">the </w:t>
      </w:r>
      <w:r w:rsidR="00FF2AF8">
        <w:rPr>
          <w:rFonts w:cs="Times New Roman"/>
        </w:rPr>
        <w:t xml:space="preserve">Terms </w:t>
      </w:r>
      <w:r w:rsidR="00FF2AF8" w:rsidRPr="00C11039">
        <w:rPr>
          <w:rFonts w:cs="Times New Roman"/>
        </w:rPr>
        <w:t>and Conditions for the Auction of Papua</w:t>
      </w:r>
      <w:r w:rsidR="00FF2AF8">
        <w:rPr>
          <w:rFonts w:cs="Times New Roman"/>
        </w:rPr>
        <w:t xml:space="preserve"> New Guinea </w:t>
      </w:r>
      <w:r w:rsidR="00361A3B">
        <w:rPr>
          <w:rFonts w:cs="Times New Roman"/>
        </w:rPr>
        <w:t xml:space="preserve">Treasury Bills dated April 2007 </w:t>
      </w:r>
      <w:r w:rsidRPr="00FF2AF8">
        <w:rPr>
          <w:rFonts w:cs="Times New Roman"/>
        </w:rPr>
        <w:t>provides; (</w:t>
      </w:r>
      <w:proofErr w:type="spellStart"/>
      <w:r w:rsidRPr="00FF2AF8">
        <w:rPr>
          <w:rFonts w:cs="Times New Roman"/>
        </w:rPr>
        <w:t>i</w:t>
      </w:r>
      <w:proofErr w:type="spellEnd"/>
      <w:r w:rsidRPr="00FF2AF8">
        <w:rPr>
          <w:rFonts w:cs="Times New Roman"/>
        </w:rPr>
        <w:t xml:space="preserve">) </w:t>
      </w:r>
      <w:r w:rsidR="00CC7495">
        <w:rPr>
          <w:rFonts w:cs="Times New Roman"/>
        </w:rPr>
        <w:t>G</w:t>
      </w:r>
      <w:r w:rsidRPr="00FF2AF8">
        <w:rPr>
          <w:rFonts w:cs="Times New Roman"/>
        </w:rPr>
        <w:t xml:space="preserve">IS </w:t>
      </w:r>
      <w:r w:rsidR="00FF2AF8">
        <w:rPr>
          <w:rFonts w:cs="Times New Roman"/>
        </w:rPr>
        <w:t xml:space="preserve">&amp; T-bill </w:t>
      </w:r>
      <w:r w:rsidRPr="00FF2AF8">
        <w:rPr>
          <w:rFonts w:cs="Times New Roman"/>
        </w:rPr>
        <w:t>description</w:t>
      </w:r>
      <w:r w:rsidR="00FF2AF8">
        <w:rPr>
          <w:rFonts w:cs="Times New Roman"/>
        </w:rPr>
        <w:t>s</w:t>
      </w:r>
      <w:r w:rsidRPr="00FF2AF8">
        <w:rPr>
          <w:rFonts w:cs="Times New Roman"/>
        </w:rPr>
        <w:t xml:space="preserve"> and primary market arrangements; (ii) interest rate definition; (iii) fees and deductions</w:t>
      </w:r>
      <w:r>
        <w:rPr>
          <w:rStyle w:val="FootnoteReference"/>
          <w:rFonts w:cs="Times New Roman"/>
        </w:rPr>
        <w:footnoteReference w:id="8"/>
      </w:r>
      <w:r w:rsidRPr="00FF2AF8">
        <w:rPr>
          <w:rFonts w:cs="Times New Roman"/>
        </w:rPr>
        <w:t xml:space="preserve">; (iv) bidding procedures; (v) announcement </w:t>
      </w:r>
      <w:r w:rsidR="00CC7495">
        <w:rPr>
          <w:rFonts w:cs="Times New Roman"/>
        </w:rPr>
        <w:t xml:space="preserve">process </w:t>
      </w:r>
      <w:r w:rsidRPr="00FF2AF8">
        <w:rPr>
          <w:rFonts w:cs="Times New Roman"/>
        </w:rPr>
        <w:t>of tender results; (vi) registrations, settlement, and transfers</w:t>
      </w:r>
      <w:r w:rsidR="00FF2AF8" w:rsidRPr="00FF2AF8">
        <w:rPr>
          <w:rFonts w:cs="Times New Roman"/>
        </w:rPr>
        <w:t>; and (vii) repayment details.</w:t>
      </w:r>
      <w:r w:rsidR="00EE21B0">
        <w:rPr>
          <w:rFonts w:cs="Times New Roman"/>
        </w:rPr>
        <w:t xml:space="preserve"> The debt instruments are transferable and negotiable, although it is not stated specifically that they can be pledged as collateral.</w:t>
      </w:r>
    </w:p>
    <w:p w14:paraId="0888EFD1" w14:textId="77777777" w:rsidR="00F63312" w:rsidRDefault="00F63312" w:rsidP="00F04788">
      <w:pPr>
        <w:pStyle w:val="ListParagraph"/>
        <w:widowControl w:val="0"/>
        <w:numPr>
          <w:ilvl w:val="0"/>
          <w:numId w:val="2"/>
        </w:numPr>
        <w:spacing w:after="240"/>
        <w:ind w:left="0" w:firstLine="0"/>
        <w:contextualSpacing w:val="0"/>
        <w:jc w:val="both"/>
        <w:rPr>
          <w:rFonts w:cs="Times New Roman"/>
        </w:rPr>
      </w:pPr>
      <w:r w:rsidRPr="00F63312">
        <w:rPr>
          <w:rFonts w:cs="Times New Roman"/>
        </w:rPr>
        <w:t>No law defines the regulatory responsibility for government securities; in fact the Securitie</w:t>
      </w:r>
      <w:r w:rsidR="00CC7495">
        <w:rPr>
          <w:rFonts w:cs="Times New Roman"/>
        </w:rPr>
        <w:t>s Market Law</w:t>
      </w:r>
      <w:r w:rsidRPr="00F63312">
        <w:rPr>
          <w:rFonts w:cs="Times New Roman"/>
        </w:rPr>
        <w:t xml:space="preserve"> 1997 specifically excludes government securities from its mandated responsibilities.</w:t>
      </w:r>
    </w:p>
    <w:p w14:paraId="0864E48B" w14:textId="751E9A63" w:rsidR="002143D2" w:rsidRPr="004E0921" w:rsidRDefault="003A0D03" w:rsidP="00F04788">
      <w:pPr>
        <w:pStyle w:val="ListParagraph"/>
        <w:widowControl w:val="0"/>
        <w:numPr>
          <w:ilvl w:val="0"/>
          <w:numId w:val="2"/>
        </w:numPr>
        <w:spacing w:after="240"/>
        <w:ind w:left="0" w:firstLine="0"/>
        <w:contextualSpacing w:val="0"/>
        <w:jc w:val="both"/>
        <w:rPr>
          <w:rFonts w:cs="Times New Roman"/>
        </w:rPr>
      </w:pPr>
      <w:r>
        <w:rPr>
          <w:rFonts w:cs="Times New Roman"/>
        </w:rPr>
        <w:t>The BPNG</w:t>
      </w:r>
      <w:r w:rsidR="006032A1">
        <w:rPr>
          <w:rFonts w:cs="Times New Roman"/>
        </w:rPr>
        <w:t xml:space="preserve"> acts as regulator and supervisor for the PNG government securities</w:t>
      </w:r>
      <w:r w:rsidR="00CC7495">
        <w:rPr>
          <w:rFonts w:cs="Times New Roman"/>
        </w:rPr>
        <w:t xml:space="preserve">, the </w:t>
      </w:r>
      <w:r w:rsidR="006032A1">
        <w:rPr>
          <w:rFonts w:cs="Times New Roman"/>
        </w:rPr>
        <w:t>primary and secondary markets</w:t>
      </w:r>
      <w:r w:rsidR="00CC7495">
        <w:rPr>
          <w:rFonts w:cs="Times New Roman"/>
        </w:rPr>
        <w:t>,</w:t>
      </w:r>
      <w:r w:rsidR="006032A1">
        <w:rPr>
          <w:rFonts w:cs="Times New Roman"/>
        </w:rPr>
        <w:t xml:space="preserve"> as well as repurchase agreement transactions. </w:t>
      </w:r>
      <w:r w:rsidR="004E0921">
        <w:rPr>
          <w:rFonts w:cs="Times New Roman"/>
        </w:rPr>
        <w:t>Currently, n</w:t>
      </w:r>
      <w:r w:rsidR="002143D2" w:rsidRPr="004E0921">
        <w:rPr>
          <w:rFonts w:cs="Times New Roman"/>
        </w:rPr>
        <w:t xml:space="preserve">o code of conduct </w:t>
      </w:r>
      <w:r w:rsidR="004E0921">
        <w:rPr>
          <w:rFonts w:cs="Times New Roman"/>
        </w:rPr>
        <w:t>criteria</w:t>
      </w:r>
      <w:r w:rsidR="002143D2" w:rsidRPr="004E0921">
        <w:rPr>
          <w:rFonts w:cs="Times New Roman"/>
        </w:rPr>
        <w:t xml:space="preserve"> </w:t>
      </w:r>
      <w:r w:rsidR="004E0921">
        <w:rPr>
          <w:rFonts w:cs="Times New Roman"/>
        </w:rPr>
        <w:t xml:space="preserve">exists </w:t>
      </w:r>
      <w:r w:rsidR="002143D2" w:rsidRPr="004E0921">
        <w:rPr>
          <w:rFonts w:cs="Times New Roman"/>
        </w:rPr>
        <w:t xml:space="preserve">for market </w:t>
      </w:r>
      <w:r w:rsidR="0025480B" w:rsidRPr="004E0921">
        <w:rPr>
          <w:rFonts w:cs="Times New Roman"/>
        </w:rPr>
        <w:t>partic</w:t>
      </w:r>
      <w:r w:rsidR="0025480B">
        <w:rPr>
          <w:rFonts w:cs="Times New Roman"/>
        </w:rPr>
        <w:t>ipant’s</w:t>
      </w:r>
      <w:r w:rsidR="00761D30">
        <w:rPr>
          <w:rFonts w:cs="Times New Roman"/>
        </w:rPr>
        <w:t xml:space="preserve"> activities in government securities market</w:t>
      </w:r>
      <w:r w:rsidR="0025480B">
        <w:rPr>
          <w:rFonts w:cs="Times New Roman"/>
        </w:rPr>
        <w:t xml:space="preserve">. Currently, given </w:t>
      </w:r>
      <w:r w:rsidR="00361A3B">
        <w:rPr>
          <w:rFonts w:cs="Times New Roman"/>
        </w:rPr>
        <w:t xml:space="preserve">there is </w:t>
      </w:r>
      <w:r w:rsidR="0025480B">
        <w:rPr>
          <w:rFonts w:cs="Times New Roman"/>
        </w:rPr>
        <w:t xml:space="preserve">no secondary market </w:t>
      </w:r>
      <w:r w:rsidR="00404E8C">
        <w:rPr>
          <w:rFonts w:cs="Times New Roman"/>
        </w:rPr>
        <w:t>activity;</w:t>
      </w:r>
      <w:r w:rsidR="0025480B">
        <w:rPr>
          <w:rFonts w:cs="Times New Roman"/>
        </w:rPr>
        <w:t xml:space="preserve"> supervision is limited to primary market bidding and participation by registered and non-registered </w:t>
      </w:r>
      <w:r w:rsidR="0068145E">
        <w:rPr>
          <w:rFonts w:cs="Times New Roman"/>
        </w:rPr>
        <w:t>bidders</w:t>
      </w:r>
      <w:r w:rsidR="0025480B">
        <w:rPr>
          <w:rFonts w:cs="Times New Roman"/>
        </w:rPr>
        <w:t>.</w:t>
      </w:r>
      <w:r w:rsidR="0068145E">
        <w:rPr>
          <w:rFonts w:cs="Times New Roman"/>
        </w:rPr>
        <w:t xml:space="preserve"> However, in the advent of secondary market transactions and potential greater participation f</w:t>
      </w:r>
      <w:r>
        <w:rPr>
          <w:rFonts w:cs="Times New Roman"/>
        </w:rPr>
        <w:t>rom</w:t>
      </w:r>
      <w:r w:rsidR="0068145E">
        <w:rPr>
          <w:rFonts w:cs="Times New Roman"/>
        </w:rPr>
        <w:t xml:space="preserve"> the non-financial sector</w:t>
      </w:r>
      <w:r w:rsidR="00361A3B">
        <w:rPr>
          <w:rFonts w:cs="Times New Roman"/>
        </w:rPr>
        <w:t xml:space="preserve">, </w:t>
      </w:r>
      <w:r w:rsidR="0068145E">
        <w:rPr>
          <w:rFonts w:cs="Times New Roman"/>
        </w:rPr>
        <w:t>market intermediaries, commercial banks, and brokers should be subject to adhering with a code of conduct</w:t>
      </w:r>
      <w:r w:rsidR="00DD1C52">
        <w:rPr>
          <w:rFonts w:cs="Times New Roman"/>
        </w:rPr>
        <w:t xml:space="preserve"> with effective oversight of compliance being undertaken by the BPNG</w:t>
      </w:r>
      <w:r w:rsidR="0068145E">
        <w:rPr>
          <w:rFonts w:cs="Times New Roman"/>
        </w:rPr>
        <w:t>.</w:t>
      </w:r>
    </w:p>
    <w:p w14:paraId="21A06424" w14:textId="1B23F803" w:rsidR="005A7767" w:rsidRPr="00B161F6" w:rsidRDefault="005A7767" w:rsidP="00B161F6">
      <w:pPr>
        <w:pStyle w:val="ListParagraph"/>
        <w:widowControl w:val="0"/>
        <w:numPr>
          <w:ilvl w:val="0"/>
          <w:numId w:val="2"/>
        </w:numPr>
        <w:spacing w:after="240"/>
        <w:ind w:left="0" w:firstLine="0"/>
        <w:contextualSpacing w:val="0"/>
        <w:jc w:val="both"/>
        <w:rPr>
          <w:rFonts w:cs="Times New Roman"/>
        </w:rPr>
      </w:pPr>
      <w:r w:rsidRPr="00B161F6">
        <w:rPr>
          <w:rFonts w:cs="Times New Roman"/>
        </w:rPr>
        <w:t>Currently</w:t>
      </w:r>
      <w:r w:rsidR="00761D30" w:rsidRPr="00B161F6">
        <w:rPr>
          <w:rFonts w:cs="Times New Roman"/>
        </w:rPr>
        <w:t>,</w:t>
      </w:r>
      <w:r w:rsidRPr="005A7767">
        <w:rPr>
          <w:rFonts w:cs="Times New Roman"/>
        </w:rPr>
        <w:t xml:space="preserve"> </w:t>
      </w:r>
      <w:r w:rsidR="00761D30" w:rsidRPr="005A7767">
        <w:rPr>
          <w:rFonts w:cs="Times New Roman"/>
        </w:rPr>
        <w:t>PN</w:t>
      </w:r>
      <w:r w:rsidR="00761D30">
        <w:rPr>
          <w:rFonts w:cs="Times New Roman"/>
        </w:rPr>
        <w:t xml:space="preserve">G government securities are subject to an </w:t>
      </w:r>
      <w:r w:rsidR="00761D30" w:rsidRPr="005A7767">
        <w:rPr>
          <w:rFonts w:cs="Times New Roman"/>
        </w:rPr>
        <w:t xml:space="preserve">interest withholding tax of </w:t>
      </w:r>
      <w:r w:rsidR="00761D30" w:rsidRPr="005A7767">
        <w:rPr>
          <w:rFonts w:cs="Times New Roman"/>
        </w:rPr>
        <w:lastRenderedPageBreak/>
        <w:t>15%</w:t>
      </w:r>
      <w:r w:rsidR="00761D30">
        <w:rPr>
          <w:rFonts w:cs="Times New Roman"/>
        </w:rPr>
        <w:t xml:space="preserve"> for interest income only </w:t>
      </w:r>
      <w:r w:rsidR="00DD1C52">
        <w:rPr>
          <w:rFonts w:cs="Times New Roman"/>
        </w:rPr>
        <w:t>which is</w:t>
      </w:r>
      <w:r w:rsidR="00761D30">
        <w:rPr>
          <w:rFonts w:cs="Times New Roman"/>
        </w:rPr>
        <w:t xml:space="preserve"> collected at maturity.  There is no capital gains tax on government securities. Taxation on repurchase transactions </w:t>
      </w:r>
      <w:r w:rsidR="00EE21B0">
        <w:rPr>
          <w:rFonts w:cs="Times New Roman"/>
        </w:rPr>
        <w:t>is</w:t>
      </w:r>
      <w:r w:rsidR="00761D30">
        <w:rPr>
          <w:rFonts w:cs="Times New Roman"/>
        </w:rPr>
        <w:t xml:space="preserve"> limited to interest</w:t>
      </w:r>
      <w:r w:rsidRPr="005A7767">
        <w:rPr>
          <w:rFonts w:cs="Times New Roman"/>
        </w:rPr>
        <w:t xml:space="preserve"> </w:t>
      </w:r>
      <w:r w:rsidR="00761D30">
        <w:rPr>
          <w:rFonts w:cs="Times New Roman"/>
        </w:rPr>
        <w:t xml:space="preserve">received. </w:t>
      </w:r>
      <w:r w:rsidR="00B161F6">
        <w:rPr>
          <w:rFonts w:cs="Times New Roman"/>
        </w:rPr>
        <w:t xml:space="preserve"> </w:t>
      </w:r>
      <w:r w:rsidRPr="00B161F6">
        <w:rPr>
          <w:rFonts w:cs="Times New Roman"/>
        </w:rPr>
        <w:t xml:space="preserve">Under s35 of the Income Tax Assessment Act 2000 interest income received by commercial banks, superannuation funds and other ‘financial institutions’ are exempt from the withholding tax. However this does not exempt them from tax. Therefore ‘their tax obligation is based upon their total income from their tax obligation </w:t>
      </w:r>
      <w:r w:rsidR="00DD1C52">
        <w:rPr>
          <w:rFonts w:cs="Times New Roman"/>
        </w:rPr>
        <w:t xml:space="preserve">which </w:t>
      </w:r>
      <w:r w:rsidRPr="00B161F6">
        <w:rPr>
          <w:rFonts w:cs="Times New Roman"/>
        </w:rPr>
        <w:t>is calculated based on their total income from holding and trading government securities</w:t>
      </w:r>
      <w:r w:rsidR="00DD1C52">
        <w:rPr>
          <w:rFonts w:cs="Times New Roman"/>
        </w:rPr>
        <w:t>’</w:t>
      </w:r>
      <w:r w:rsidR="00361A3B">
        <w:rPr>
          <w:rFonts w:cs="Times New Roman"/>
        </w:rPr>
        <w:t>.</w:t>
      </w:r>
      <w:r w:rsidRPr="00B161F6">
        <w:rPr>
          <w:rFonts w:cs="Times New Roman"/>
        </w:rPr>
        <w:t xml:space="preserve"> </w:t>
      </w:r>
    </w:p>
    <w:p w14:paraId="212E8309" w14:textId="77777777" w:rsidR="00657FA1" w:rsidRDefault="00657FA1" w:rsidP="00F04788">
      <w:pPr>
        <w:pStyle w:val="ListParagraph"/>
        <w:widowControl w:val="0"/>
        <w:numPr>
          <w:ilvl w:val="0"/>
          <w:numId w:val="2"/>
        </w:numPr>
        <w:spacing w:after="240"/>
        <w:ind w:left="0" w:firstLine="0"/>
        <w:contextualSpacing w:val="0"/>
        <w:jc w:val="both"/>
        <w:rPr>
          <w:rFonts w:cs="Times New Roman"/>
        </w:rPr>
      </w:pPr>
      <w:r w:rsidRPr="00657FA1">
        <w:rPr>
          <w:rFonts w:cs="Times New Roman"/>
        </w:rPr>
        <w:t xml:space="preserve">Transactions on </w:t>
      </w:r>
      <w:r w:rsidR="00046545">
        <w:rPr>
          <w:rFonts w:cs="Times New Roman"/>
        </w:rPr>
        <w:t>Port Moresby Stock Exchange (</w:t>
      </w:r>
      <w:proofErr w:type="spellStart"/>
      <w:r w:rsidR="00AA214F">
        <w:rPr>
          <w:rFonts w:cs="Times New Roman"/>
        </w:rPr>
        <w:t>POMSo</w:t>
      </w:r>
      <w:r w:rsidRPr="00657FA1">
        <w:rPr>
          <w:rFonts w:cs="Times New Roman"/>
        </w:rPr>
        <w:t>X</w:t>
      </w:r>
      <w:proofErr w:type="spellEnd"/>
      <w:r w:rsidR="00046545">
        <w:rPr>
          <w:rFonts w:cs="Times New Roman"/>
        </w:rPr>
        <w:t>)</w:t>
      </w:r>
      <w:r w:rsidRPr="00657FA1">
        <w:rPr>
          <w:rFonts w:cs="Times New Roman"/>
        </w:rPr>
        <w:t xml:space="preserve"> are</w:t>
      </w:r>
      <w:r w:rsidR="00046545">
        <w:rPr>
          <w:rFonts w:cs="Times New Roman"/>
        </w:rPr>
        <w:t xml:space="preserve"> ex</w:t>
      </w:r>
      <w:r w:rsidR="00361A3B">
        <w:rPr>
          <w:rFonts w:cs="Times New Roman"/>
        </w:rPr>
        <w:t>empted from capital gains tax,</w:t>
      </w:r>
      <w:r w:rsidR="00C742BE">
        <w:rPr>
          <w:rFonts w:cs="Times New Roman"/>
        </w:rPr>
        <w:t xml:space="preserve"> GST, </w:t>
      </w:r>
      <w:r w:rsidR="00046545">
        <w:rPr>
          <w:rFonts w:cs="Times New Roman"/>
        </w:rPr>
        <w:t>and stamp Duties</w:t>
      </w:r>
      <w:r w:rsidRPr="00657FA1">
        <w:rPr>
          <w:rFonts w:cs="Times New Roman"/>
        </w:rPr>
        <w:t>.</w:t>
      </w:r>
      <w:r>
        <w:rPr>
          <w:rFonts w:cs="Times New Roman"/>
        </w:rPr>
        <w:t xml:space="preserve"> </w:t>
      </w:r>
      <w:r w:rsidRPr="00657FA1">
        <w:rPr>
          <w:rFonts w:cs="Times New Roman"/>
        </w:rPr>
        <w:t>This exemption a</w:t>
      </w:r>
      <w:r w:rsidR="00361A3B">
        <w:rPr>
          <w:rFonts w:cs="Times New Roman"/>
        </w:rPr>
        <w:t>pplies also to debt products, thus</w:t>
      </w:r>
      <w:r w:rsidRPr="00657FA1">
        <w:rPr>
          <w:rFonts w:cs="Times New Roman"/>
        </w:rPr>
        <w:t xml:space="preserve"> any corporate debt </w:t>
      </w:r>
      <w:r w:rsidR="00046545">
        <w:rPr>
          <w:rFonts w:cs="Times New Roman"/>
        </w:rPr>
        <w:t xml:space="preserve">issued and </w:t>
      </w:r>
      <w:r w:rsidR="00AA214F">
        <w:rPr>
          <w:rFonts w:cs="Times New Roman"/>
        </w:rPr>
        <w:t xml:space="preserve">listed on the </w:t>
      </w:r>
      <w:proofErr w:type="spellStart"/>
      <w:r w:rsidR="00AA214F">
        <w:rPr>
          <w:rFonts w:cs="Times New Roman"/>
        </w:rPr>
        <w:t>POMSo</w:t>
      </w:r>
      <w:r w:rsidRPr="00657FA1">
        <w:rPr>
          <w:rFonts w:cs="Times New Roman"/>
        </w:rPr>
        <w:t>X</w:t>
      </w:r>
      <w:proofErr w:type="spellEnd"/>
      <w:r w:rsidR="00046545">
        <w:rPr>
          <w:rFonts w:cs="Times New Roman"/>
        </w:rPr>
        <w:t xml:space="preserve"> is exempt from these taxes</w:t>
      </w:r>
      <w:r w:rsidRPr="00657FA1">
        <w:rPr>
          <w:rFonts w:cs="Times New Roman"/>
        </w:rPr>
        <w:t>.</w:t>
      </w:r>
    </w:p>
    <w:p w14:paraId="1065AE77" w14:textId="09A58F17" w:rsidR="002143D2" w:rsidRPr="006D652D" w:rsidRDefault="00BA00C4" w:rsidP="006D652D">
      <w:pPr>
        <w:pStyle w:val="ListParagraph"/>
        <w:widowControl w:val="0"/>
        <w:numPr>
          <w:ilvl w:val="0"/>
          <w:numId w:val="2"/>
        </w:numPr>
        <w:spacing w:after="240"/>
        <w:ind w:left="0" w:firstLine="0"/>
        <w:contextualSpacing w:val="0"/>
        <w:jc w:val="both"/>
      </w:pPr>
      <w:r w:rsidRPr="006D652D">
        <w:rPr>
          <w:rFonts w:cs="Times New Roman"/>
        </w:rPr>
        <w:t>The Securities Commission of PNG</w:t>
      </w:r>
      <w:r w:rsidRPr="00BA00C4">
        <w:rPr>
          <w:rFonts w:cs="Times New Roman"/>
        </w:rPr>
        <w:t xml:space="preserve"> </w:t>
      </w:r>
      <w:r>
        <w:rPr>
          <w:rFonts w:cs="Times New Roman"/>
        </w:rPr>
        <w:t xml:space="preserve">(SCPNG) </w:t>
      </w:r>
      <w:r w:rsidRPr="00BA00C4">
        <w:rPr>
          <w:rFonts w:cs="Times New Roman"/>
        </w:rPr>
        <w:t>wa</w:t>
      </w:r>
      <w:r w:rsidR="00E51FEA">
        <w:rPr>
          <w:rFonts w:cs="Times New Roman"/>
        </w:rPr>
        <w:t>s established under</w:t>
      </w:r>
      <w:r w:rsidRPr="00BA00C4">
        <w:rPr>
          <w:rFonts w:cs="Times New Roman"/>
        </w:rPr>
        <w:t xml:space="preserve"> the Securities Act 1997. </w:t>
      </w:r>
      <w:r>
        <w:rPr>
          <w:rFonts w:cs="Times New Roman"/>
        </w:rPr>
        <w:t xml:space="preserve">The SCPNG </w:t>
      </w:r>
      <w:r w:rsidR="00361A3B">
        <w:rPr>
          <w:rFonts w:cs="Times New Roman"/>
        </w:rPr>
        <w:t>is currently a d</w:t>
      </w:r>
      <w:r w:rsidR="002143D2" w:rsidRPr="00BA00C4">
        <w:rPr>
          <w:rFonts w:cs="Times New Roman"/>
        </w:rPr>
        <w:t>ivision within the Investment Promotion Authority</w:t>
      </w:r>
      <w:r w:rsidR="00657FA1" w:rsidRPr="00BA00C4">
        <w:rPr>
          <w:rFonts w:cs="Times New Roman"/>
        </w:rPr>
        <w:t xml:space="preserve"> (IPA)</w:t>
      </w:r>
      <w:r w:rsidR="002143D2" w:rsidRPr="00BA00C4">
        <w:rPr>
          <w:rFonts w:cs="Times New Roman"/>
        </w:rPr>
        <w:t xml:space="preserve">. </w:t>
      </w:r>
      <w:r w:rsidR="006D652D">
        <w:t xml:space="preserve">The Securities Act 1997 vests regulatory and oversight powers with the Securities Commission, the latter does not have powers to specify operating requirements and guidelines for brokers </w:t>
      </w:r>
      <w:r w:rsidR="007A5381">
        <w:t>and</w:t>
      </w:r>
      <w:r w:rsidR="006D652D">
        <w:t xml:space="preserve"> to license and oversee registrars and depositories, nor does it have oversight powers over settlement systems. Corporate stock ownership is recorded in the “PNG Registry” – an unlicensed and unregulated entity – and the ownership title is given in paper-form. The Securities Commission Act does not give the Securities Commission </w:t>
      </w:r>
      <w:r w:rsidR="00DD1C52">
        <w:t>(</w:t>
      </w:r>
      <w:r w:rsidR="00DD1C52" w:rsidRPr="00DD1C52">
        <w:t>SCPNG</w:t>
      </w:r>
      <w:r w:rsidR="00DD1C52">
        <w:t>)</w:t>
      </w:r>
      <w:r w:rsidR="00DD1C52" w:rsidRPr="00DD1C52">
        <w:t xml:space="preserve"> </w:t>
      </w:r>
      <w:r w:rsidR="006D652D">
        <w:t>powers to license Registrars and Depositories. PNG Registry provides registrar services on its own and all listed companies currently use its services.</w:t>
      </w:r>
    </w:p>
    <w:p w14:paraId="27E2B591" w14:textId="2F6F2007" w:rsidR="00A20BA4" w:rsidRDefault="00E51FEA" w:rsidP="00F04788">
      <w:pPr>
        <w:pStyle w:val="ListParagraph"/>
        <w:widowControl w:val="0"/>
        <w:numPr>
          <w:ilvl w:val="0"/>
          <w:numId w:val="2"/>
        </w:numPr>
        <w:spacing w:after="240"/>
        <w:ind w:left="0" w:firstLine="0"/>
        <w:contextualSpacing w:val="0"/>
        <w:jc w:val="both"/>
        <w:rPr>
          <w:rFonts w:cs="Times New Roman"/>
        </w:rPr>
      </w:pPr>
      <w:r>
        <w:rPr>
          <w:rFonts w:cs="Times New Roman"/>
        </w:rPr>
        <w:t xml:space="preserve">Brokers are licensed and supervised by the Port Moresby Stock Exchange. </w:t>
      </w:r>
      <w:proofErr w:type="spellStart"/>
      <w:r w:rsidR="00F40055" w:rsidRPr="00E51FEA">
        <w:rPr>
          <w:rFonts w:cs="Times New Roman"/>
        </w:rPr>
        <w:t>P</w:t>
      </w:r>
      <w:r w:rsidR="00AA214F">
        <w:rPr>
          <w:rFonts w:cs="Times New Roman"/>
        </w:rPr>
        <w:t>OMSo</w:t>
      </w:r>
      <w:r w:rsidR="00F40055" w:rsidRPr="00E51FEA">
        <w:rPr>
          <w:rFonts w:cs="Times New Roman"/>
        </w:rPr>
        <w:t>X</w:t>
      </w:r>
      <w:proofErr w:type="spellEnd"/>
      <w:r w:rsidR="00F40055" w:rsidRPr="00E51FEA">
        <w:rPr>
          <w:rFonts w:cs="Times New Roman"/>
        </w:rPr>
        <w:t xml:space="preserve"> as a </w:t>
      </w:r>
      <w:r w:rsidR="00DD1C52" w:rsidRPr="00E51FEA">
        <w:rPr>
          <w:rFonts w:cs="Times New Roman"/>
        </w:rPr>
        <w:t>Self-Regulatory</w:t>
      </w:r>
      <w:r w:rsidR="00F40055" w:rsidRPr="00E51FEA">
        <w:rPr>
          <w:rFonts w:cs="Times New Roman"/>
        </w:rPr>
        <w:t xml:space="preserve"> </w:t>
      </w:r>
      <w:r w:rsidRPr="00E51FEA">
        <w:rPr>
          <w:rFonts w:cs="Times New Roman"/>
        </w:rPr>
        <w:t>Organization, approved by the SCPNG</w:t>
      </w:r>
      <w:r>
        <w:rPr>
          <w:rFonts w:cs="Times New Roman"/>
        </w:rPr>
        <w:t>, has the authority</w:t>
      </w:r>
      <w:r w:rsidR="00F40055" w:rsidRPr="00E51FEA">
        <w:rPr>
          <w:rFonts w:cs="Times New Roman"/>
        </w:rPr>
        <w:t xml:space="preserve"> to set rules an</w:t>
      </w:r>
      <w:r w:rsidRPr="00E51FEA">
        <w:rPr>
          <w:rFonts w:cs="Times New Roman"/>
        </w:rPr>
        <w:t xml:space="preserve">d standards for its members as well as </w:t>
      </w:r>
      <w:r>
        <w:rPr>
          <w:rFonts w:cs="Times New Roman"/>
        </w:rPr>
        <w:t xml:space="preserve">conduct </w:t>
      </w:r>
      <w:r w:rsidRPr="00E51FEA">
        <w:rPr>
          <w:rFonts w:cs="Times New Roman"/>
        </w:rPr>
        <w:t>inspection</w:t>
      </w:r>
      <w:r>
        <w:rPr>
          <w:rFonts w:cs="Times New Roman"/>
        </w:rPr>
        <w:t>s</w:t>
      </w:r>
      <w:r w:rsidRPr="00E51FEA">
        <w:rPr>
          <w:rFonts w:cs="Times New Roman"/>
        </w:rPr>
        <w:t xml:space="preserve"> and enforcement </w:t>
      </w:r>
      <w:r>
        <w:rPr>
          <w:rFonts w:cs="Times New Roman"/>
        </w:rPr>
        <w:t>of members found in</w:t>
      </w:r>
      <w:r w:rsidR="00F40055" w:rsidRPr="00E51FEA">
        <w:rPr>
          <w:rFonts w:cs="Times New Roman"/>
        </w:rPr>
        <w:t xml:space="preserve"> breach such rules and standards.</w:t>
      </w:r>
      <w:r w:rsidR="00BA00C4" w:rsidRPr="00E51FEA">
        <w:rPr>
          <w:rFonts w:cs="Times New Roman"/>
        </w:rPr>
        <w:t xml:space="preserve"> </w:t>
      </w:r>
    </w:p>
    <w:p w14:paraId="3F5C4734" w14:textId="77777777" w:rsidR="00E51FEA" w:rsidRPr="006D652D" w:rsidRDefault="00E51FEA" w:rsidP="00E51FEA">
      <w:pPr>
        <w:widowControl w:val="0"/>
        <w:spacing w:after="240"/>
        <w:jc w:val="both"/>
        <w:rPr>
          <w:rFonts w:cs="Times New Roman"/>
          <w:i/>
          <w:u w:val="single"/>
        </w:rPr>
      </w:pPr>
      <w:r w:rsidRPr="006D652D">
        <w:rPr>
          <w:rFonts w:cs="Times New Roman"/>
          <w:i/>
          <w:u w:val="single"/>
        </w:rPr>
        <w:t>Recent Initiatives</w:t>
      </w:r>
      <w:r w:rsidR="006D652D">
        <w:rPr>
          <w:rFonts w:cs="Times New Roman"/>
          <w:i/>
          <w:u w:val="single"/>
        </w:rPr>
        <w:t>-</w:t>
      </w:r>
    </w:p>
    <w:p w14:paraId="52247353" w14:textId="23B7029E" w:rsidR="007709F7" w:rsidRPr="008772DA" w:rsidRDefault="009A775E" w:rsidP="00F04788">
      <w:pPr>
        <w:pStyle w:val="ListParagraph"/>
        <w:widowControl w:val="0"/>
        <w:numPr>
          <w:ilvl w:val="0"/>
          <w:numId w:val="2"/>
        </w:numPr>
        <w:spacing w:after="240"/>
        <w:ind w:left="0" w:firstLine="0"/>
        <w:contextualSpacing w:val="0"/>
        <w:jc w:val="both"/>
        <w:rPr>
          <w:rFonts w:cs="Times New Roman"/>
          <w:i/>
        </w:rPr>
      </w:pPr>
      <w:r>
        <w:rPr>
          <w:rFonts w:cs="Times New Roman"/>
        </w:rPr>
        <w:t xml:space="preserve">New draft regulations to make </w:t>
      </w:r>
      <w:r w:rsidR="00CF0306">
        <w:rPr>
          <w:rFonts w:cs="Times New Roman"/>
        </w:rPr>
        <w:t xml:space="preserve">the </w:t>
      </w:r>
      <w:r w:rsidR="00DD1C52" w:rsidRPr="00DD1C52">
        <w:rPr>
          <w:rFonts w:cs="Times New Roman"/>
        </w:rPr>
        <w:t>SCPNG</w:t>
      </w:r>
      <w:r w:rsidR="00DD1C52" w:rsidRPr="00DD1C52" w:rsidDel="00DD1C52">
        <w:rPr>
          <w:rFonts w:cs="Times New Roman"/>
        </w:rPr>
        <w:t xml:space="preserve"> </w:t>
      </w:r>
      <w:r w:rsidR="00BF607A">
        <w:rPr>
          <w:rFonts w:cs="Times New Roman"/>
        </w:rPr>
        <w:t xml:space="preserve">an independent agency </w:t>
      </w:r>
      <w:r w:rsidR="007709F7">
        <w:rPr>
          <w:rFonts w:cs="Times New Roman"/>
        </w:rPr>
        <w:t>are currently under legislative review, to include (</w:t>
      </w:r>
      <w:proofErr w:type="spellStart"/>
      <w:r w:rsidR="007709F7">
        <w:rPr>
          <w:rFonts w:cs="Times New Roman"/>
        </w:rPr>
        <w:t>i</w:t>
      </w:r>
      <w:proofErr w:type="spellEnd"/>
      <w:r w:rsidR="007709F7">
        <w:rPr>
          <w:rFonts w:cs="Times New Roman"/>
        </w:rPr>
        <w:t>) Securities Commission Bill 2015, (ii) Capital Markets Bill 2015</w:t>
      </w:r>
      <w:r w:rsidR="004E0921">
        <w:rPr>
          <w:rFonts w:cs="Times New Roman"/>
        </w:rPr>
        <w:t>, and (iii) Central Depository B</w:t>
      </w:r>
      <w:r w:rsidR="007709F7">
        <w:rPr>
          <w:rFonts w:cs="Times New Roman"/>
        </w:rPr>
        <w:t>ill 2015.</w:t>
      </w:r>
    </w:p>
    <w:p w14:paraId="7DD3295B" w14:textId="1F629EC6" w:rsidR="00477A96" w:rsidRPr="00CD750D" w:rsidRDefault="008772DA" w:rsidP="00477A96">
      <w:pPr>
        <w:pStyle w:val="ListParagraph"/>
        <w:widowControl w:val="0"/>
        <w:numPr>
          <w:ilvl w:val="0"/>
          <w:numId w:val="2"/>
        </w:numPr>
        <w:spacing w:after="240"/>
        <w:ind w:left="0" w:firstLine="0"/>
        <w:contextualSpacing w:val="0"/>
        <w:jc w:val="both"/>
        <w:rPr>
          <w:rFonts w:cs="Times New Roman"/>
          <w:i/>
        </w:rPr>
      </w:pPr>
      <w:r>
        <w:rPr>
          <w:rFonts w:cs="Times New Roman"/>
        </w:rPr>
        <w:t>As part of the World Bank’s Financial Sector D</w:t>
      </w:r>
      <w:r w:rsidR="00A20BA4">
        <w:rPr>
          <w:rFonts w:cs="Times New Roman"/>
        </w:rPr>
        <w:t>evelopment Strategy the Market Supervision and Regulation component of the</w:t>
      </w:r>
      <w:r w:rsidR="00361A3B">
        <w:rPr>
          <w:rFonts w:cs="Times New Roman"/>
        </w:rPr>
        <w:t xml:space="preserve"> TA is </w:t>
      </w:r>
      <w:r w:rsidR="00DD1C52">
        <w:rPr>
          <w:rFonts w:cs="Times New Roman"/>
        </w:rPr>
        <w:t xml:space="preserve">required </w:t>
      </w:r>
      <w:r w:rsidR="00361A3B">
        <w:rPr>
          <w:rFonts w:cs="Times New Roman"/>
        </w:rPr>
        <w:t>to</w:t>
      </w:r>
      <w:r>
        <w:rPr>
          <w:rFonts w:cs="Times New Roman"/>
        </w:rPr>
        <w:t xml:space="preserve"> comprehensively assess</w:t>
      </w:r>
      <w:r w:rsidR="00DD1C52">
        <w:rPr>
          <w:rFonts w:cs="Times New Roman"/>
        </w:rPr>
        <w:t xml:space="preserve"> the current </w:t>
      </w:r>
      <w:r w:rsidR="00DD1C52" w:rsidRPr="00DD1C52">
        <w:rPr>
          <w:rFonts w:cs="Times New Roman"/>
        </w:rPr>
        <w:t>regulatory framework</w:t>
      </w:r>
      <w:r>
        <w:rPr>
          <w:rFonts w:cs="Times New Roman"/>
        </w:rPr>
        <w:t xml:space="preserve"> </w:t>
      </w:r>
      <w:r w:rsidR="00A20BA4">
        <w:rPr>
          <w:rFonts w:cs="Times New Roman"/>
        </w:rPr>
        <w:t xml:space="preserve">and </w:t>
      </w:r>
      <w:r w:rsidR="00DD1C52">
        <w:rPr>
          <w:rFonts w:cs="Times New Roman"/>
        </w:rPr>
        <w:t xml:space="preserve">make </w:t>
      </w:r>
      <w:r w:rsidR="00A20BA4">
        <w:rPr>
          <w:rFonts w:cs="Times New Roman"/>
        </w:rPr>
        <w:t>recommend</w:t>
      </w:r>
      <w:r w:rsidR="00DD1C52">
        <w:rPr>
          <w:rFonts w:cs="Times New Roman"/>
        </w:rPr>
        <w:t xml:space="preserve">ations for </w:t>
      </w:r>
      <w:r w:rsidR="002E1D36">
        <w:rPr>
          <w:rFonts w:cs="Times New Roman"/>
        </w:rPr>
        <w:t>improvement</w:t>
      </w:r>
      <w:r w:rsidR="00DD1C52">
        <w:rPr>
          <w:rFonts w:cs="Times New Roman"/>
        </w:rPr>
        <w:t xml:space="preserve"> in</w:t>
      </w:r>
      <w:r w:rsidR="00A20BA4">
        <w:rPr>
          <w:rFonts w:cs="Times New Roman"/>
        </w:rPr>
        <w:t xml:space="preserve"> </w:t>
      </w:r>
      <w:r>
        <w:rPr>
          <w:rFonts w:cs="Times New Roman"/>
        </w:rPr>
        <w:t>the regulatory framework in PNG.</w:t>
      </w:r>
    </w:p>
    <w:p w14:paraId="6BA63073" w14:textId="77777777" w:rsidR="007709F7" w:rsidRPr="008F7368" w:rsidRDefault="007709F7" w:rsidP="007709F7">
      <w:pPr>
        <w:widowControl w:val="0"/>
        <w:spacing w:after="240"/>
        <w:jc w:val="both"/>
        <w:rPr>
          <w:rFonts w:cs="Times New Roman"/>
          <w:i/>
          <w:u w:val="single"/>
        </w:rPr>
      </w:pPr>
      <w:r w:rsidRPr="008F7368">
        <w:rPr>
          <w:rFonts w:cs="Times New Roman"/>
          <w:i/>
          <w:u w:val="single"/>
        </w:rPr>
        <w:t>Recommendations</w:t>
      </w:r>
      <w:r w:rsidR="00BF607A" w:rsidRPr="008F7368">
        <w:rPr>
          <w:rFonts w:cs="Times New Roman"/>
          <w:i/>
          <w:u w:val="single"/>
        </w:rPr>
        <w:t>-</w:t>
      </w:r>
    </w:p>
    <w:p w14:paraId="619D8BFC" w14:textId="33193DA6" w:rsidR="005F277B" w:rsidRDefault="008F7368" w:rsidP="005F277B">
      <w:pPr>
        <w:pStyle w:val="ListParagraph"/>
        <w:widowControl w:val="0"/>
        <w:numPr>
          <w:ilvl w:val="0"/>
          <w:numId w:val="2"/>
        </w:numPr>
        <w:spacing w:after="240"/>
        <w:ind w:left="0" w:firstLine="0"/>
        <w:contextualSpacing w:val="0"/>
        <w:jc w:val="both"/>
        <w:rPr>
          <w:rFonts w:cs="Times New Roman"/>
          <w:i/>
        </w:rPr>
      </w:pPr>
      <w:r w:rsidRPr="00083E32">
        <w:rPr>
          <w:rFonts w:cs="Times New Roman"/>
        </w:rPr>
        <w:t xml:space="preserve">Treasury </w:t>
      </w:r>
      <w:r w:rsidR="002E1D36" w:rsidRPr="00083E32">
        <w:rPr>
          <w:rFonts w:cs="Times New Roman"/>
        </w:rPr>
        <w:t>and</w:t>
      </w:r>
      <w:r w:rsidRPr="00083E32">
        <w:rPr>
          <w:rFonts w:cs="Times New Roman"/>
        </w:rPr>
        <w:t xml:space="preserve"> FMD</w:t>
      </w:r>
      <w:r>
        <w:rPr>
          <w:rFonts w:cs="Times New Roman"/>
        </w:rPr>
        <w:t xml:space="preserve"> </w:t>
      </w:r>
      <w:r w:rsidR="002E1D36">
        <w:rPr>
          <w:rFonts w:cs="Times New Roman"/>
        </w:rPr>
        <w:t xml:space="preserve">should </w:t>
      </w:r>
      <w:r>
        <w:rPr>
          <w:rFonts w:cs="Times New Roman"/>
        </w:rPr>
        <w:t>r</w:t>
      </w:r>
      <w:r w:rsidR="00424A34">
        <w:rPr>
          <w:rFonts w:cs="Times New Roman"/>
        </w:rPr>
        <w:t>eview and potentially amend Loans</w:t>
      </w:r>
      <w:r w:rsidR="00361A3B">
        <w:rPr>
          <w:rFonts w:cs="Times New Roman"/>
        </w:rPr>
        <w:t xml:space="preserve"> Securities Act 1960 and T-Bills</w:t>
      </w:r>
      <w:r w:rsidR="00424A34">
        <w:rPr>
          <w:rFonts w:cs="Times New Roman"/>
        </w:rPr>
        <w:t xml:space="preserve"> Act 1974</w:t>
      </w:r>
      <w:r w:rsidR="00083E32">
        <w:rPr>
          <w:rFonts w:cs="Times New Roman"/>
        </w:rPr>
        <w:t>, as well as any relevant Memorandums of Understanding</w:t>
      </w:r>
      <w:r w:rsidR="00424A34">
        <w:rPr>
          <w:rFonts w:cs="Times New Roman"/>
        </w:rPr>
        <w:t xml:space="preserve"> </w:t>
      </w:r>
      <w:r w:rsidR="00083E32">
        <w:rPr>
          <w:rFonts w:cs="Times New Roman"/>
        </w:rPr>
        <w:t xml:space="preserve">(MOUs) </w:t>
      </w:r>
      <w:r w:rsidR="00424A34">
        <w:rPr>
          <w:rFonts w:cs="Times New Roman"/>
        </w:rPr>
        <w:t xml:space="preserve">to </w:t>
      </w:r>
      <w:r w:rsidR="00083E32">
        <w:rPr>
          <w:rFonts w:cs="Times New Roman"/>
        </w:rPr>
        <w:t xml:space="preserve">ensure the acts and MOUs are consistent with the current public debt management policies, objectives, and activities. </w:t>
      </w:r>
    </w:p>
    <w:p w14:paraId="2A6B44A3" w14:textId="77777777" w:rsidR="00EF27A7" w:rsidRPr="004E0921" w:rsidRDefault="002E1D36" w:rsidP="00F04788">
      <w:pPr>
        <w:pStyle w:val="ListParagraph"/>
        <w:widowControl w:val="0"/>
        <w:numPr>
          <w:ilvl w:val="0"/>
          <w:numId w:val="2"/>
        </w:numPr>
        <w:spacing w:after="240"/>
        <w:ind w:left="0" w:firstLine="0"/>
        <w:contextualSpacing w:val="0"/>
        <w:jc w:val="both"/>
        <w:rPr>
          <w:rFonts w:cs="Times New Roman"/>
          <w:i/>
        </w:rPr>
      </w:pPr>
      <w:r>
        <w:rPr>
          <w:rFonts w:cs="Times New Roman"/>
        </w:rPr>
        <w:t xml:space="preserve">The </w:t>
      </w:r>
      <w:r w:rsidR="008F7368">
        <w:rPr>
          <w:rFonts w:cs="Times New Roman"/>
        </w:rPr>
        <w:t xml:space="preserve">BPNG </w:t>
      </w:r>
      <w:r>
        <w:rPr>
          <w:rFonts w:cs="Times New Roman"/>
        </w:rPr>
        <w:t xml:space="preserve">should </w:t>
      </w:r>
      <w:r w:rsidR="008F7368">
        <w:rPr>
          <w:rFonts w:cs="Times New Roman"/>
        </w:rPr>
        <w:t>e</w:t>
      </w:r>
      <w:r w:rsidR="00EF27A7">
        <w:rPr>
          <w:rFonts w:cs="Times New Roman"/>
        </w:rPr>
        <w:t xml:space="preserve">nsure </w:t>
      </w:r>
      <w:r>
        <w:rPr>
          <w:rFonts w:cs="Times New Roman"/>
        </w:rPr>
        <w:t xml:space="preserve">that </w:t>
      </w:r>
      <w:r w:rsidR="00EF27A7">
        <w:rPr>
          <w:rFonts w:cs="Times New Roman"/>
        </w:rPr>
        <w:t xml:space="preserve">the Master Repurchase Agreement’s legal basis e.g. margining, reserve requirements, accounting, and taxation etc. is agreed, accepted, and </w:t>
      </w:r>
      <w:r w:rsidR="00EF27A7">
        <w:rPr>
          <w:rFonts w:cs="Times New Roman"/>
        </w:rPr>
        <w:lastRenderedPageBreak/>
        <w:t xml:space="preserve">adopted by all market participants before implementation. </w:t>
      </w:r>
    </w:p>
    <w:p w14:paraId="7034E912" w14:textId="77777777" w:rsidR="004E0921" w:rsidRPr="00EF27A7" w:rsidRDefault="002E1D36" w:rsidP="00F04788">
      <w:pPr>
        <w:pStyle w:val="ListParagraph"/>
        <w:widowControl w:val="0"/>
        <w:numPr>
          <w:ilvl w:val="0"/>
          <w:numId w:val="2"/>
        </w:numPr>
        <w:spacing w:after="240"/>
        <w:ind w:left="0" w:firstLine="0"/>
        <w:contextualSpacing w:val="0"/>
        <w:jc w:val="both"/>
        <w:rPr>
          <w:rFonts w:cs="Times New Roman"/>
          <w:i/>
        </w:rPr>
      </w:pPr>
      <w:r>
        <w:rPr>
          <w:rFonts w:cs="Times New Roman"/>
        </w:rPr>
        <w:t xml:space="preserve">The </w:t>
      </w:r>
      <w:r w:rsidR="004E0921">
        <w:rPr>
          <w:rFonts w:cs="Times New Roman"/>
        </w:rPr>
        <w:t>B</w:t>
      </w:r>
      <w:r w:rsidR="00A20BA4">
        <w:rPr>
          <w:rFonts w:cs="Times New Roman"/>
        </w:rPr>
        <w:t xml:space="preserve">PNG </w:t>
      </w:r>
      <w:r w:rsidR="00361A3B">
        <w:rPr>
          <w:rFonts w:cs="Times New Roman"/>
        </w:rPr>
        <w:t xml:space="preserve">should </w:t>
      </w:r>
      <w:r w:rsidR="00A20BA4">
        <w:rPr>
          <w:rFonts w:cs="Times New Roman"/>
        </w:rPr>
        <w:t xml:space="preserve">establish a code of conduct, </w:t>
      </w:r>
      <w:r w:rsidR="00EF27A7">
        <w:rPr>
          <w:rFonts w:cs="Times New Roman"/>
        </w:rPr>
        <w:t>market convention</w:t>
      </w:r>
      <w:r w:rsidR="00A20BA4">
        <w:rPr>
          <w:rFonts w:cs="Times New Roman"/>
        </w:rPr>
        <w:t>, and reporting requirements</w:t>
      </w:r>
      <w:r w:rsidR="00EF27A7">
        <w:rPr>
          <w:rFonts w:cs="Times New Roman"/>
        </w:rPr>
        <w:t xml:space="preserve"> </w:t>
      </w:r>
      <w:r w:rsidR="004E0921">
        <w:rPr>
          <w:rFonts w:cs="Times New Roman"/>
        </w:rPr>
        <w:t>for market participants transacting in the primary and secondary marke</w:t>
      </w:r>
      <w:r w:rsidR="00AA214F">
        <w:rPr>
          <w:rFonts w:cs="Times New Roman"/>
        </w:rPr>
        <w:t xml:space="preserve">t for government securities, </w:t>
      </w:r>
      <w:r w:rsidR="004E0921">
        <w:rPr>
          <w:rFonts w:cs="Times New Roman"/>
        </w:rPr>
        <w:t xml:space="preserve">central bank bills, </w:t>
      </w:r>
      <w:r w:rsidR="007E15E0">
        <w:rPr>
          <w:rFonts w:cs="Times New Roman"/>
        </w:rPr>
        <w:t>and repurchase</w:t>
      </w:r>
      <w:r w:rsidR="004E0921">
        <w:rPr>
          <w:rFonts w:cs="Times New Roman"/>
        </w:rPr>
        <w:t xml:space="preserve"> agreements. </w:t>
      </w:r>
    </w:p>
    <w:p w14:paraId="38DE38CC" w14:textId="3417CA93" w:rsidR="00EF27A7" w:rsidRPr="007709F7" w:rsidRDefault="002E1D36" w:rsidP="00F04788">
      <w:pPr>
        <w:pStyle w:val="ListParagraph"/>
        <w:widowControl w:val="0"/>
        <w:numPr>
          <w:ilvl w:val="0"/>
          <w:numId w:val="2"/>
        </w:numPr>
        <w:spacing w:after="240"/>
        <w:ind w:left="0" w:firstLine="0"/>
        <w:contextualSpacing w:val="0"/>
        <w:jc w:val="both"/>
        <w:rPr>
          <w:rFonts w:cs="Times New Roman"/>
          <w:i/>
        </w:rPr>
      </w:pPr>
      <w:r>
        <w:rPr>
          <w:rFonts w:cs="Times New Roman"/>
        </w:rPr>
        <w:t>The</w:t>
      </w:r>
      <w:r w:rsidR="007A5381">
        <w:rPr>
          <w:rFonts w:cs="Times New Roman"/>
        </w:rPr>
        <w:t>re</w:t>
      </w:r>
      <w:r>
        <w:rPr>
          <w:rFonts w:cs="Times New Roman"/>
        </w:rPr>
        <w:t xml:space="preserve"> should be </w:t>
      </w:r>
      <w:r w:rsidR="00EF27A7">
        <w:rPr>
          <w:rFonts w:cs="Times New Roman"/>
        </w:rPr>
        <w:t xml:space="preserve">effective supervision of the government securities market, carried out by the BPNG, whereby all market participants </w:t>
      </w:r>
      <w:r>
        <w:rPr>
          <w:rFonts w:cs="Times New Roman"/>
        </w:rPr>
        <w:t xml:space="preserve">are </w:t>
      </w:r>
      <w:r w:rsidR="00EF27A7">
        <w:rPr>
          <w:rFonts w:cs="Times New Roman"/>
        </w:rPr>
        <w:t>subject to the same standards and conventions.</w:t>
      </w:r>
    </w:p>
    <w:p w14:paraId="4035BB42" w14:textId="77777777" w:rsidR="00AE4DD6" w:rsidRPr="003F04B9" w:rsidRDefault="005A67B4" w:rsidP="00AE4DD6">
      <w:pPr>
        <w:widowControl w:val="0"/>
        <w:spacing w:after="240"/>
        <w:jc w:val="center"/>
        <w:rPr>
          <w:rFonts w:cs="Times New Roman"/>
          <w:b/>
          <w:noProof/>
        </w:rPr>
      </w:pPr>
      <w:r w:rsidRPr="003F04B9">
        <w:rPr>
          <w:rFonts w:cs="Times New Roman"/>
          <w:b/>
          <w:noProof/>
        </w:rPr>
        <w:t xml:space="preserve">C. </w:t>
      </w:r>
      <w:r w:rsidR="007221EF" w:rsidRPr="003F04B9">
        <w:rPr>
          <w:rFonts w:cs="Times New Roman"/>
          <w:b/>
          <w:noProof/>
        </w:rPr>
        <w:t xml:space="preserve">Public </w:t>
      </w:r>
      <w:r w:rsidR="00AE4DD6" w:rsidRPr="003F04B9">
        <w:rPr>
          <w:rFonts w:cs="Times New Roman"/>
          <w:b/>
          <w:noProof/>
        </w:rPr>
        <w:t>Debt Management</w:t>
      </w:r>
      <w:r w:rsidR="00517184">
        <w:rPr>
          <w:rFonts w:cs="Times New Roman"/>
          <w:b/>
          <w:noProof/>
        </w:rPr>
        <w:t xml:space="preserve"> Strategy</w:t>
      </w:r>
    </w:p>
    <w:p w14:paraId="685DA1F3" w14:textId="718EEFA6" w:rsidR="007221EF" w:rsidRPr="000F1BD5" w:rsidRDefault="00517184" w:rsidP="00F04788">
      <w:pPr>
        <w:pStyle w:val="ListParagraph"/>
        <w:widowControl w:val="0"/>
        <w:numPr>
          <w:ilvl w:val="0"/>
          <w:numId w:val="2"/>
        </w:numPr>
        <w:spacing w:after="240"/>
        <w:ind w:left="0" w:firstLine="0"/>
        <w:contextualSpacing w:val="0"/>
        <w:jc w:val="both"/>
        <w:rPr>
          <w:rFonts w:cs="Times New Roman"/>
        </w:rPr>
      </w:pPr>
      <w:r w:rsidRPr="00517184">
        <w:rPr>
          <w:rFonts w:cs="Times New Roman"/>
        </w:rPr>
        <w:t>The Treasury</w:t>
      </w:r>
      <w:r w:rsidR="00395882">
        <w:rPr>
          <w:rFonts w:cs="Times New Roman"/>
        </w:rPr>
        <w:t>’s FMD</w:t>
      </w:r>
      <w:r>
        <w:rPr>
          <w:rFonts w:cs="Times New Roman"/>
        </w:rPr>
        <w:t xml:space="preserve"> </w:t>
      </w:r>
      <w:r w:rsidR="00395882">
        <w:rPr>
          <w:rFonts w:cs="Times New Roman"/>
        </w:rPr>
        <w:t>prep</w:t>
      </w:r>
      <w:r w:rsidR="00B8440F">
        <w:rPr>
          <w:rFonts w:cs="Times New Roman"/>
        </w:rPr>
        <w:t>ares, implements, and monitors the</w:t>
      </w:r>
      <w:r w:rsidR="00395882">
        <w:rPr>
          <w:rFonts w:cs="Times New Roman"/>
        </w:rPr>
        <w:t xml:space="preserve"> Medium-Term Debt S</w:t>
      </w:r>
      <w:r>
        <w:rPr>
          <w:rFonts w:cs="Times New Roman"/>
        </w:rPr>
        <w:t>trategy</w:t>
      </w:r>
      <w:r w:rsidR="00395882">
        <w:rPr>
          <w:rFonts w:cs="Times New Roman"/>
        </w:rPr>
        <w:t xml:space="preserve"> (MTDS). A</w:t>
      </w:r>
      <w:r w:rsidR="007221EF" w:rsidRPr="00395882">
        <w:rPr>
          <w:rFonts w:cs="Times New Roman"/>
        </w:rPr>
        <w:t xml:space="preserve"> MTDS is a plan that the government intends to implement over the medium-term (three to five years) in order to achieve a composition of the government debt portfolio that captures the government’s preferences with regard to the cost-risk tradeoff. </w:t>
      </w:r>
      <w:r w:rsidR="00271D1A" w:rsidRPr="00271D1A">
        <w:rPr>
          <w:rFonts w:cs="Times New Roman"/>
        </w:rPr>
        <w:t>The MTDS operationalizes the government’s debt management objectives</w:t>
      </w:r>
      <w:r w:rsidR="00271D1A">
        <w:rPr>
          <w:rFonts w:cs="Times New Roman"/>
        </w:rPr>
        <w:t>.</w:t>
      </w:r>
      <w:r w:rsidR="00271D1A" w:rsidRPr="00395882">
        <w:rPr>
          <w:rFonts w:cs="Times New Roman"/>
        </w:rPr>
        <w:t xml:space="preserve"> </w:t>
      </w:r>
      <w:r w:rsidR="007221EF" w:rsidRPr="00395882">
        <w:rPr>
          <w:rFonts w:cs="Times New Roman"/>
        </w:rPr>
        <w:t>Potential risk</w:t>
      </w:r>
      <w:r w:rsidR="002E1D36">
        <w:rPr>
          <w:rFonts w:cs="Times New Roman"/>
        </w:rPr>
        <w:t>s</w:t>
      </w:r>
      <w:r w:rsidR="007221EF" w:rsidRPr="00395882">
        <w:rPr>
          <w:rFonts w:cs="Times New Roman"/>
        </w:rPr>
        <w:t xml:space="preserve"> and or cost can arise from uncertainty </w:t>
      </w:r>
      <w:r w:rsidR="002E1D36">
        <w:rPr>
          <w:rFonts w:cs="Times New Roman"/>
        </w:rPr>
        <w:t>over</w:t>
      </w:r>
      <w:r w:rsidR="007A5381">
        <w:rPr>
          <w:rFonts w:cs="Times New Roman"/>
        </w:rPr>
        <w:t xml:space="preserve"> </w:t>
      </w:r>
      <w:r w:rsidR="007221EF" w:rsidRPr="00395882">
        <w:rPr>
          <w:rFonts w:cs="Times New Roman"/>
        </w:rPr>
        <w:t>of the government’s financing strategy</w:t>
      </w:r>
      <w:r w:rsidR="002E1D36">
        <w:rPr>
          <w:rFonts w:cs="Times New Roman"/>
        </w:rPr>
        <w:t xml:space="preserve"> and to unexpected changes to</w:t>
      </w:r>
      <w:r w:rsidR="002E1D36" w:rsidRPr="002E1D36">
        <w:rPr>
          <w:rFonts w:cs="Times New Roman"/>
        </w:rPr>
        <w:t xml:space="preserve"> </w:t>
      </w:r>
      <w:r w:rsidR="002E1D36">
        <w:rPr>
          <w:rFonts w:cs="Times New Roman"/>
        </w:rPr>
        <w:t xml:space="preserve">the </w:t>
      </w:r>
      <w:r w:rsidR="002E1D36" w:rsidRPr="002E1D36">
        <w:rPr>
          <w:rFonts w:cs="Times New Roman"/>
        </w:rPr>
        <w:t>government’s financing strategy</w:t>
      </w:r>
      <w:r w:rsidR="007221EF" w:rsidRPr="00395882">
        <w:rPr>
          <w:rFonts w:cs="Times New Roman"/>
        </w:rPr>
        <w:t>.</w:t>
      </w:r>
      <w:r w:rsidR="00271D1A">
        <w:rPr>
          <w:rFonts w:cs="Times New Roman"/>
        </w:rPr>
        <w:t xml:space="preserve"> </w:t>
      </w:r>
    </w:p>
    <w:p w14:paraId="6B1AD259" w14:textId="30CB8DF5" w:rsidR="00271D1A" w:rsidRPr="00271D1A" w:rsidRDefault="00174A65" w:rsidP="00F04788">
      <w:pPr>
        <w:pStyle w:val="ListParagraph"/>
        <w:widowControl w:val="0"/>
        <w:numPr>
          <w:ilvl w:val="0"/>
          <w:numId w:val="2"/>
        </w:numPr>
        <w:spacing w:after="240"/>
        <w:ind w:left="0" w:firstLine="0"/>
        <w:contextualSpacing w:val="0"/>
        <w:jc w:val="both"/>
        <w:rPr>
          <w:rFonts w:cs="Times New Roman"/>
        </w:rPr>
      </w:pPr>
      <w:r w:rsidRPr="00271D1A">
        <w:rPr>
          <w:rFonts w:cs="Times New Roman"/>
        </w:rPr>
        <w:t xml:space="preserve">The </w:t>
      </w:r>
      <w:r w:rsidR="002E1D36" w:rsidRPr="00174A65">
        <w:rPr>
          <w:rFonts w:cs="Times New Roman"/>
        </w:rPr>
        <w:t>objective</w:t>
      </w:r>
      <w:r w:rsidR="002E1D36">
        <w:rPr>
          <w:rFonts w:cs="Times New Roman"/>
        </w:rPr>
        <w:t xml:space="preserve"> of the</w:t>
      </w:r>
      <w:r w:rsidR="002E1D36" w:rsidRPr="00271D1A">
        <w:rPr>
          <w:rFonts w:cs="Times New Roman"/>
        </w:rPr>
        <w:t xml:space="preserve"> </w:t>
      </w:r>
      <w:r w:rsidRPr="00271D1A">
        <w:rPr>
          <w:rFonts w:cs="Times New Roman"/>
        </w:rPr>
        <w:t>most recent</w:t>
      </w:r>
      <w:r w:rsidR="00271D1A">
        <w:rPr>
          <w:rFonts w:cs="Times New Roman"/>
        </w:rPr>
        <w:t xml:space="preserve"> version of the Medium-T</w:t>
      </w:r>
      <w:r w:rsidRPr="00271D1A">
        <w:rPr>
          <w:rFonts w:cs="Times New Roman"/>
        </w:rPr>
        <w:t xml:space="preserve">erm </w:t>
      </w:r>
      <w:r w:rsidR="00271D1A">
        <w:rPr>
          <w:rFonts w:cs="Times New Roman"/>
        </w:rPr>
        <w:t>Debt Management Strategy</w:t>
      </w:r>
      <w:r w:rsidR="007A5381">
        <w:rPr>
          <w:rFonts w:cs="Times New Roman"/>
        </w:rPr>
        <w:t xml:space="preserve"> </w:t>
      </w:r>
      <w:r w:rsidR="002E1D36">
        <w:rPr>
          <w:rFonts w:cs="Times New Roman"/>
        </w:rPr>
        <w:t>MTDS</w:t>
      </w:r>
      <w:r w:rsidR="007A5381">
        <w:rPr>
          <w:rFonts w:cs="Times New Roman"/>
        </w:rPr>
        <w:t xml:space="preserve"> </w:t>
      </w:r>
      <w:r w:rsidR="00271D1A">
        <w:rPr>
          <w:rFonts w:cs="Times New Roman"/>
        </w:rPr>
        <w:t>2013 -</w:t>
      </w:r>
      <w:r w:rsidR="00395882" w:rsidRPr="00271D1A">
        <w:rPr>
          <w:rFonts w:cs="Times New Roman"/>
        </w:rPr>
        <w:t>2017</w:t>
      </w:r>
      <w:r w:rsidR="00533ACE">
        <w:rPr>
          <w:rStyle w:val="FootnoteReference"/>
          <w:rFonts w:cs="Times New Roman"/>
        </w:rPr>
        <w:footnoteReference w:id="9"/>
      </w:r>
      <w:r w:rsidR="00271D1A">
        <w:rPr>
          <w:rFonts w:cs="Times New Roman"/>
        </w:rPr>
        <w:t xml:space="preserve"> </w:t>
      </w:r>
      <w:r w:rsidR="00271D1A" w:rsidRPr="00174A65">
        <w:rPr>
          <w:rFonts w:cs="Times New Roman"/>
        </w:rPr>
        <w:t>is to minimize the cost of debt consistent with the Government’s</w:t>
      </w:r>
      <w:r w:rsidR="00271D1A">
        <w:rPr>
          <w:rFonts w:cs="Times New Roman"/>
        </w:rPr>
        <w:t xml:space="preserve"> </w:t>
      </w:r>
      <w:r w:rsidR="00271D1A" w:rsidRPr="00174A65">
        <w:rPr>
          <w:rFonts w:cs="Times New Roman"/>
        </w:rPr>
        <w:t>tolerance for financial risk</w:t>
      </w:r>
      <w:r w:rsidR="00097015">
        <w:rPr>
          <w:rFonts w:cs="Times New Roman"/>
        </w:rPr>
        <w:t xml:space="preserve">. </w:t>
      </w:r>
      <w:r w:rsidR="00097015" w:rsidRPr="00174A65">
        <w:rPr>
          <w:rFonts w:cs="Times New Roman"/>
        </w:rPr>
        <w:t>T</w:t>
      </w:r>
      <w:r w:rsidR="00097015">
        <w:rPr>
          <w:rFonts w:cs="Times New Roman"/>
        </w:rPr>
        <w:t>here are three major</w:t>
      </w:r>
      <w:r w:rsidR="00A65D6F">
        <w:rPr>
          <w:rFonts w:cs="Times New Roman"/>
        </w:rPr>
        <w:t xml:space="preserve"> strategies to support Treasury’s &amp; FDM’s MTDS</w:t>
      </w:r>
      <w:r w:rsidR="00B8440F">
        <w:rPr>
          <w:rFonts w:cs="Times New Roman"/>
        </w:rPr>
        <w:t xml:space="preserve"> </w:t>
      </w:r>
      <w:r w:rsidR="00097015">
        <w:rPr>
          <w:rFonts w:cs="Times New Roman"/>
        </w:rPr>
        <w:t>objective</w:t>
      </w:r>
      <w:r w:rsidR="007A5381">
        <w:rPr>
          <w:rFonts w:cs="Times New Roman"/>
        </w:rPr>
        <w:t>, to include</w:t>
      </w:r>
      <w:r w:rsidR="00097015">
        <w:rPr>
          <w:rFonts w:cs="Times New Roman"/>
        </w:rPr>
        <w:t>:</w:t>
      </w:r>
    </w:p>
    <w:p w14:paraId="7F048FD2" w14:textId="77777777" w:rsidR="00097015" w:rsidRPr="004B4848" w:rsidRDefault="00097015" w:rsidP="00B8440F">
      <w:pPr>
        <w:pStyle w:val="ListParagraph"/>
        <w:widowControl w:val="0"/>
        <w:numPr>
          <w:ilvl w:val="0"/>
          <w:numId w:val="30"/>
        </w:numPr>
        <w:spacing w:after="240"/>
        <w:contextualSpacing w:val="0"/>
        <w:jc w:val="both"/>
        <w:rPr>
          <w:rFonts w:cs="Times New Roman"/>
          <w:i/>
        </w:rPr>
      </w:pPr>
      <w:r w:rsidRPr="004B4848">
        <w:rPr>
          <w:rFonts w:cs="Times New Roman"/>
          <w:i/>
        </w:rPr>
        <w:t xml:space="preserve">Maintain </w:t>
      </w:r>
      <w:r w:rsidR="004B4848" w:rsidRPr="004B4848">
        <w:rPr>
          <w:rFonts w:cs="Times New Roman"/>
          <w:i/>
        </w:rPr>
        <w:t xml:space="preserve">public </w:t>
      </w:r>
      <w:r w:rsidRPr="004B4848">
        <w:rPr>
          <w:rFonts w:cs="Times New Roman"/>
          <w:i/>
        </w:rPr>
        <w:t>debt at sustainable levels:</w:t>
      </w:r>
    </w:p>
    <w:p w14:paraId="6D0E7647" w14:textId="77777777" w:rsidR="00097015" w:rsidRPr="000438AE" w:rsidRDefault="00097015" w:rsidP="000438AE">
      <w:pPr>
        <w:pStyle w:val="ListParagraph"/>
        <w:widowControl w:val="0"/>
        <w:numPr>
          <w:ilvl w:val="0"/>
          <w:numId w:val="13"/>
        </w:numPr>
        <w:spacing w:after="240"/>
        <w:ind w:left="1080"/>
        <w:jc w:val="both"/>
        <w:rPr>
          <w:rFonts w:cs="Times New Roman"/>
        </w:rPr>
      </w:pPr>
      <w:r w:rsidRPr="00097015">
        <w:rPr>
          <w:rFonts w:cs="Times New Roman"/>
        </w:rPr>
        <w:t>The Financial Responsibility Act imposes a nominal debt to GDP limit on central Gove</w:t>
      </w:r>
      <w:r w:rsidR="00341A40">
        <w:rPr>
          <w:rFonts w:cs="Times New Roman"/>
        </w:rPr>
        <w:t xml:space="preserve">rnment borrowings of 35 % </w:t>
      </w:r>
      <w:r>
        <w:rPr>
          <w:rFonts w:cs="Times New Roman"/>
        </w:rPr>
        <w:t>of GDP for 2013, 2014 and 2015;</w:t>
      </w:r>
    </w:p>
    <w:p w14:paraId="5EDC7FE5" w14:textId="77777777" w:rsidR="00ED2119" w:rsidRDefault="00097015" w:rsidP="00533ACE">
      <w:pPr>
        <w:pStyle w:val="ListParagraph"/>
        <w:widowControl w:val="0"/>
        <w:numPr>
          <w:ilvl w:val="0"/>
          <w:numId w:val="13"/>
        </w:numPr>
        <w:ind w:left="1080"/>
        <w:jc w:val="both"/>
        <w:rPr>
          <w:rFonts w:cs="Times New Roman"/>
        </w:rPr>
      </w:pPr>
      <w:r w:rsidRPr="00097015">
        <w:rPr>
          <w:rFonts w:cs="Times New Roman"/>
        </w:rPr>
        <w:t xml:space="preserve">The limit applies only to debt centrally borrowed by the Government and does not include superannuation arrears, State Owned Enterprise </w:t>
      </w:r>
      <w:r w:rsidR="00B8440F">
        <w:rPr>
          <w:rFonts w:cs="Times New Roman"/>
        </w:rPr>
        <w:t xml:space="preserve">(SOE) </w:t>
      </w:r>
      <w:r w:rsidRPr="00097015">
        <w:rPr>
          <w:rFonts w:cs="Times New Roman"/>
        </w:rPr>
        <w:t>borr</w:t>
      </w:r>
      <w:r>
        <w:rPr>
          <w:rFonts w:cs="Times New Roman"/>
        </w:rPr>
        <w:t>owing</w:t>
      </w:r>
      <w:r w:rsidR="00B8440F">
        <w:rPr>
          <w:rFonts w:cs="Times New Roman"/>
        </w:rPr>
        <w:t>s</w:t>
      </w:r>
      <w:r>
        <w:rPr>
          <w:rFonts w:cs="Times New Roman"/>
        </w:rPr>
        <w:t xml:space="preserve"> or contingent liabilities.</w:t>
      </w:r>
    </w:p>
    <w:p w14:paraId="4C236901" w14:textId="77777777" w:rsidR="00533ACE" w:rsidRPr="000438AE" w:rsidRDefault="00533ACE" w:rsidP="000438AE">
      <w:pPr>
        <w:widowControl w:val="0"/>
        <w:jc w:val="both"/>
        <w:rPr>
          <w:rFonts w:cs="Times New Roman"/>
        </w:rPr>
      </w:pPr>
    </w:p>
    <w:p w14:paraId="05802C06" w14:textId="77777777" w:rsidR="0001456E" w:rsidRPr="004B4848" w:rsidRDefault="00097015" w:rsidP="00B8440F">
      <w:pPr>
        <w:pStyle w:val="ListParagraph"/>
        <w:widowControl w:val="0"/>
        <w:numPr>
          <w:ilvl w:val="0"/>
          <w:numId w:val="30"/>
        </w:numPr>
        <w:spacing w:after="240"/>
        <w:contextualSpacing w:val="0"/>
        <w:jc w:val="both"/>
        <w:rPr>
          <w:rFonts w:cs="Times New Roman"/>
          <w:i/>
        </w:rPr>
      </w:pPr>
      <w:r w:rsidRPr="004B4848">
        <w:rPr>
          <w:rFonts w:cs="Times New Roman"/>
          <w:i/>
        </w:rPr>
        <w:t>M</w:t>
      </w:r>
      <w:r w:rsidR="0001456E" w:rsidRPr="004B4848">
        <w:rPr>
          <w:rFonts w:cs="Times New Roman"/>
          <w:i/>
        </w:rPr>
        <w:t>aintaining f</w:t>
      </w:r>
      <w:r w:rsidRPr="004B4848">
        <w:rPr>
          <w:rFonts w:cs="Times New Roman"/>
          <w:i/>
        </w:rPr>
        <w:t>inanci</w:t>
      </w:r>
      <w:r w:rsidR="0001456E" w:rsidRPr="004B4848">
        <w:rPr>
          <w:rFonts w:cs="Times New Roman"/>
          <w:i/>
        </w:rPr>
        <w:t>al risks at prudent levels:</w:t>
      </w:r>
    </w:p>
    <w:p w14:paraId="2125A1CC" w14:textId="77777777" w:rsidR="004B4848" w:rsidRPr="000438AE" w:rsidRDefault="0001456E" w:rsidP="000438AE">
      <w:pPr>
        <w:pStyle w:val="ListParagraph"/>
        <w:widowControl w:val="0"/>
        <w:numPr>
          <w:ilvl w:val="0"/>
          <w:numId w:val="13"/>
        </w:numPr>
        <w:spacing w:after="240"/>
        <w:ind w:left="1080"/>
        <w:jc w:val="both"/>
        <w:rPr>
          <w:rFonts w:cs="Times New Roman"/>
        </w:rPr>
      </w:pPr>
      <w:r>
        <w:rPr>
          <w:rFonts w:cs="Times New Roman"/>
        </w:rPr>
        <w:t>Foreign Currency Risk: limit the government’s foreign currency exposure to 40% of the total public debt portfolio;</w:t>
      </w:r>
    </w:p>
    <w:p w14:paraId="3BBCCAC1" w14:textId="77777777" w:rsidR="000F1BD5" w:rsidRPr="000438AE" w:rsidRDefault="0001456E" w:rsidP="000F1BD5">
      <w:pPr>
        <w:pStyle w:val="ListParagraph"/>
        <w:widowControl w:val="0"/>
        <w:numPr>
          <w:ilvl w:val="0"/>
          <w:numId w:val="13"/>
        </w:numPr>
        <w:ind w:left="1080"/>
        <w:jc w:val="both"/>
        <w:rPr>
          <w:rFonts w:cs="Times New Roman"/>
        </w:rPr>
      </w:pPr>
      <w:r>
        <w:rPr>
          <w:rFonts w:cs="Times New Roman"/>
        </w:rPr>
        <w:t>Interest Rate Risk: T-bills rep</w:t>
      </w:r>
      <w:r w:rsidR="00851BC0">
        <w:rPr>
          <w:rFonts w:cs="Times New Roman"/>
        </w:rPr>
        <w:t>resent floati</w:t>
      </w:r>
      <w:r w:rsidR="00B8440F">
        <w:rPr>
          <w:rFonts w:cs="Times New Roman"/>
        </w:rPr>
        <w:t xml:space="preserve">ng rate risk as T-bills </w:t>
      </w:r>
      <w:r w:rsidR="00851BC0">
        <w:rPr>
          <w:rFonts w:cs="Times New Roman"/>
        </w:rPr>
        <w:t>are rolled over frequently within 364-day period. The target for T-bills ratio is 15% to 30% of the total domestic debt portfolio;</w:t>
      </w:r>
    </w:p>
    <w:p w14:paraId="54BB1811" w14:textId="487863D2" w:rsidR="0001456E" w:rsidRDefault="00851BC0" w:rsidP="00F04788">
      <w:pPr>
        <w:pStyle w:val="ListParagraph"/>
        <w:widowControl w:val="0"/>
        <w:numPr>
          <w:ilvl w:val="0"/>
          <w:numId w:val="13"/>
        </w:numPr>
        <w:spacing w:after="240"/>
        <w:ind w:left="1080"/>
        <w:jc w:val="both"/>
        <w:rPr>
          <w:rFonts w:cs="Times New Roman"/>
        </w:rPr>
      </w:pPr>
      <w:r>
        <w:rPr>
          <w:rFonts w:cs="Times New Roman"/>
        </w:rPr>
        <w:t>Refinancing Risk: to manage the debt falling due within a 12-month period the targeted average time to maturity (ATM) is 5-years for domest</w:t>
      </w:r>
      <w:r w:rsidR="00B8440F">
        <w:rPr>
          <w:rFonts w:cs="Times New Roman"/>
        </w:rPr>
        <w:t>ic debt and roughly 12-years for</w:t>
      </w:r>
      <w:r>
        <w:rPr>
          <w:rFonts w:cs="Times New Roman"/>
        </w:rPr>
        <w:t xml:space="preserve"> external debt. </w:t>
      </w:r>
      <w:r w:rsidR="002E1D36">
        <w:rPr>
          <w:rFonts w:cs="Times New Roman"/>
        </w:rPr>
        <w:t xml:space="preserve">The </w:t>
      </w:r>
      <w:r w:rsidR="007A5381">
        <w:rPr>
          <w:rFonts w:cs="Times New Roman"/>
        </w:rPr>
        <w:t>l</w:t>
      </w:r>
      <w:r>
        <w:rPr>
          <w:rFonts w:cs="Times New Roman"/>
        </w:rPr>
        <w:t xml:space="preserve">imit </w:t>
      </w:r>
      <w:r w:rsidR="002E1D36">
        <w:rPr>
          <w:rFonts w:cs="Times New Roman"/>
        </w:rPr>
        <w:t xml:space="preserve">placed on </w:t>
      </w:r>
      <w:r>
        <w:rPr>
          <w:rFonts w:cs="Times New Roman"/>
        </w:rPr>
        <w:t xml:space="preserve">the amount of </w:t>
      </w:r>
      <w:r w:rsidR="00B8440F">
        <w:rPr>
          <w:rFonts w:cs="Times New Roman"/>
        </w:rPr>
        <w:t xml:space="preserve">government </w:t>
      </w:r>
      <w:r>
        <w:rPr>
          <w:rFonts w:cs="Times New Roman"/>
        </w:rPr>
        <w:t xml:space="preserve">inscribed stock maturing in any one year </w:t>
      </w:r>
      <w:r w:rsidR="002E1D36">
        <w:rPr>
          <w:rFonts w:cs="Times New Roman"/>
        </w:rPr>
        <w:t xml:space="preserve">is </w:t>
      </w:r>
      <w:r w:rsidR="00341A40">
        <w:rPr>
          <w:rFonts w:cs="Times New Roman"/>
        </w:rPr>
        <w:t>PG</w:t>
      </w:r>
      <w:r>
        <w:rPr>
          <w:rFonts w:cs="Times New Roman"/>
        </w:rPr>
        <w:t xml:space="preserve">K800mm. </w:t>
      </w:r>
      <w:r w:rsidR="002E1D36">
        <w:rPr>
          <w:rFonts w:cs="Times New Roman"/>
        </w:rPr>
        <w:t xml:space="preserve">The </w:t>
      </w:r>
      <w:r w:rsidR="002E1D36">
        <w:rPr>
          <w:rFonts w:cs="Times New Roman"/>
        </w:rPr>
        <w:lastRenderedPageBreak/>
        <w:t>MTDS also provides for an i</w:t>
      </w:r>
      <w:r>
        <w:rPr>
          <w:rFonts w:cs="Times New Roman"/>
        </w:rPr>
        <w:t xml:space="preserve">ncrease the </w:t>
      </w:r>
      <w:r w:rsidR="00B8440F">
        <w:rPr>
          <w:rFonts w:cs="Times New Roman"/>
        </w:rPr>
        <w:t>G</w:t>
      </w:r>
      <w:r>
        <w:rPr>
          <w:rFonts w:cs="Times New Roman"/>
        </w:rPr>
        <w:t xml:space="preserve">IS issuance from </w:t>
      </w:r>
      <w:r w:rsidR="00341A40">
        <w:rPr>
          <w:rFonts w:cs="Times New Roman"/>
        </w:rPr>
        <w:t>PG</w:t>
      </w:r>
      <w:r>
        <w:rPr>
          <w:rFonts w:cs="Times New Roman"/>
        </w:rPr>
        <w:t>K6.2bln</w:t>
      </w:r>
      <w:r w:rsidR="00B93509">
        <w:rPr>
          <w:rFonts w:cs="Times New Roman"/>
        </w:rPr>
        <w:t xml:space="preserve"> at 2014, to </w:t>
      </w:r>
      <w:r w:rsidR="00341A40">
        <w:rPr>
          <w:rFonts w:cs="Times New Roman"/>
        </w:rPr>
        <w:t>PG</w:t>
      </w:r>
      <w:r w:rsidR="00B93509">
        <w:rPr>
          <w:rFonts w:cs="Times New Roman"/>
        </w:rPr>
        <w:t>K9.0bln in 2019.</w:t>
      </w:r>
    </w:p>
    <w:p w14:paraId="289728BB" w14:textId="77777777" w:rsidR="004B4848" w:rsidRPr="0001456E" w:rsidRDefault="004B4848" w:rsidP="004B4848">
      <w:pPr>
        <w:pStyle w:val="ListParagraph"/>
        <w:widowControl w:val="0"/>
        <w:spacing w:after="240"/>
        <w:ind w:left="1080"/>
        <w:jc w:val="both"/>
        <w:rPr>
          <w:rFonts w:cs="Times New Roman"/>
        </w:rPr>
      </w:pPr>
    </w:p>
    <w:p w14:paraId="4A025EA2" w14:textId="77777777" w:rsidR="0001456E" w:rsidRPr="004B4848" w:rsidRDefault="0001456E" w:rsidP="00B8440F">
      <w:pPr>
        <w:pStyle w:val="ListParagraph"/>
        <w:widowControl w:val="0"/>
        <w:numPr>
          <w:ilvl w:val="0"/>
          <w:numId w:val="30"/>
        </w:numPr>
        <w:spacing w:after="240"/>
        <w:contextualSpacing w:val="0"/>
        <w:jc w:val="both"/>
        <w:rPr>
          <w:rFonts w:cs="Times New Roman"/>
          <w:i/>
        </w:rPr>
      </w:pPr>
      <w:r w:rsidRPr="004B4848">
        <w:rPr>
          <w:rFonts w:cs="Times New Roman"/>
          <w:i/>
        </w:rPr>
        <w:t xml:space="preserve">Develop the domestic debt </w:t>
      </w:r>
      <w:r w:rsidR="00B93509" w:rsidRPr="004B4848">
        <w:rPr>
          <w:rFonts w:cs="Times New Roman"/>
          <w:i/>
        </w:rPr>
        <w:t>market:</w:t>
      </w:r>
    </w:p>
    <w:p w14:paraId="57F53861" w14:textId="77777777" w:rsidR="004B4848" w:rsidRPr="000438AE" w:rsidRDefault="00B93509" w:rsidP="000438AE">
      <w:pPr>
        <w:pStyle w:val="ListParagraph"/>
        <w:widowControl w:val="0"/>
        <w:numPr>
          <w:ilvl w:val="0"/>
          <w:numId w:val="13"/>
        </w:numPr>
        <w:ind w:left="1080"/>
        <w:jc w:val="both"/>
        <w:rPr>
          <w:rFonts w:cs="Times New Roman"/>
        </w:rPr>
      </w:pPr>
      <w:r>
        <w:rPr>
          <w:rFonts w:cs="Times New Roman"/>
        </w:rPr>
        <w:t>Issue a sovereign bond in the international capital markets;</w:t>
      </w:r>
    </w:p>
    <w:p w14:paraId="7580BEAC" w14:textId="77777777" w:rsidR="004B4848" w:rsidRPr="000438AE" w:rsidRDefault="00B93509" w:rsidP="004B4848">
      <w:pPr>
        <w:pStyle w:val="ListParagraph"/>
        <w:widowControl w:val="0"/>
        <w:numPr>
          <w:ilvl w:val="0"/>
          <w:numId w:val="13"/>
        </w:numPr>
        <w:ind w:left="1080"/>
        <w:jc w:val="both"/>
        <w:rPr>
          <w:rFonts w:cs="Times New Roman"/>
        </w:rPr>
      </w:pPr>
      <w:r>
        <w:rPr>
          <w:rFonts w:cs="Times New Roman"/>
        </w:rPr>
        <w:t>Greater interaction with market participants;</w:t>
      </w:r>
    </w:p>
    <w:p w14:paraId="671FB9BA" w14:textId="77777777" w:rsidR="004B4848" w:rsidRPr="000438AE" w:rsidRDefault="00B93509" w:rsidP="004B4848">
      <w:pPr>
        <w:pStyle w:val="ListParagraph"/>
        <w:widowControl w:val="0"/>
        <w:numPr>
          <w:ilvl w:val="0"/>
          <w:numId w:val="13"/>
        </w:numPr>
        <w:ind w:left="1080"/>
        <w:jc w:val="both"/>
        <w:rPr>
          <w:rFonts w:cs="Times New Roman"/>
        </w:rPr>
      </w:pPr>
      <w:r>
        <w:rPr>
          <w:rFonts w:cs="Times New Roman"/>
        </w:rPr>
        <w:t>Establish a retail facility for smal</w:t>
      </w:r>
      <w:r w:rsidR="00B8440F">
        <w:rPr>
          <w:rFonts w:cs="Times New Roman"/>
        </w:rPr>
        <w:t>l and medium sized investors to</w:t>
      </w:r>
      <w:r>
        <w:rPr>
          <w:rFonts w:cs="Times New Roman"/>
        </w:rPr>
        <w:t xml:space="preserve"> purchase T-bills and </w:t>
      </w:r>
      <w:r w:rsidR="00B8440F">
        <w:rPr>
          <w:rFonts w:cs="Times New Roman"/>
        </w:rPr>
        <w:t>G</w:t>
      </w:r>
      <w:r>
        <w:rPr>
          <w:rFonts w:cs="Times New Roman"/>
        </w:rPr>
        <w:t>IS;</w:t>
      </w:r>
    </w:p>
    <w:p w14:paraId="47250E7B" w14:textId="77777777" w:rsidR="00B93509" w:rsidRDefault="00B93509" w:rsidP="00F04788">
      <w:pPr>
        <w:pStyle w:val="ListParagraph"/>
        <w:widowControl w:val="0"/>
        <w:numPr>
          <w:ilvl w:val="0"/>
          <w:numId w:val="13"/>
        </w:numPr>
        <w:ind w:left="1080"/>
        <w:jc w:val="both"/>
        <w:rPr>
          <w:rFonts w:cs="Times New Roman"/>
        </w:rPr>
      </w:pPr>
      <w:r>
        <w:rPr>
          <w:rFonts w:cs="Times New Roman"/>
        </w:rPr>
        <w:t>Finalize the Master Repurchase Agreement with BPNG.</w:t>
      </w:r>
    </w:p>
    <w:p w14:paraId="73A94C76" w14:textId="77777777" w:rsidR="004B4848" w:rsidRPr="004B4848" w:rsidRDefault="004B4848" w:rsidP="004B4848">
      <w:pPr>
        <w:widowControl w:val="0"/>
        <w:jc w:val="both"/>
        <w:rPr>
          <w:rFonts w:cs="Times New Roman"/>
        </w:rPr>
      </w:pPr>
    </w:p>
    <w:p w14:paraId="40E74B85" w14:textId="77777777" w:rsidR="002A7C97" w:rsidRPr="008F7368" w:rsidRDefault="004B4848" w:rsidP="009D11D1">
      <w:pPr>
        <w:widowControl w:val="0"/>
        <w:spacing w:after="240"/>
        <w:jc w:val="both"/>
        <w:rPr>
          <w:rFonts w:cs="Times New Roman"/>
          <w:i/>
          <w:u w:val="single"/>
        </w:rPr>
      </w:pPr>
      <w:r w:rsidRPr="008F7368">
        <w:rPr>
          <w:rFonts w:cs="Times New Roman"/>
          <w:i/>
          <w:u w:val="single"/>
        </w:rPr>
        <w:t>Recommendations-</w:t>
      </w:r>
    </w:p>
    <w:p w14:paraId="04490284" w14:textId="4D362B24" w:rsidR="002A7C97" w:rsidRPr="00131C02" w:rsidRDefault="00A65D6F" w:rsidP="002A7C97">
      <w:pPr>
        <w:pStyle w:val="ListParagraph"/>
        <w:widowControl w:val="0"/>
        <w:numPr>
          <w:ilvl w:val="0"/>
          <w:numId w:val="2"/>
        </w:numPr>
        <w:spacing w:after="240"/>
        <w:ind w:left="0" w:firstLine="0"/>
        <w:contextualSpacing w:val="0"/>
        <w:jc w:val="both"/>
      </w:pPr>
      <w:r w:rsidRPr="005E537B">
        <w:t>The Treasury’s</w:t>
      </w:r>
      <w:r w:rsidR="002A7C97" w:rsidRPr="00131C02">
        <w:t xml:space="preserve"> </w:t>
      </w:r>
      <w:r>
        <w:t xml:space="preserve">&amp; FMD’s </w:t>
      </w:r>
      <w:r w:rsidR="009D11D1">
        <w:t>M</w:t>
      </w:r>
      <w:r w:rsidR="00F84C08">
        <w:t>TDS</w:t>
      </w:r>
      <w:r w:rsidR="009D11D1">
        <w:t xml:space="preserve"> and any revisions should be published as a separate document link</w:t>
      </w:r>
      <w:r w:rsidR="00F84C08">
        <w:t>ed</w:t>
      </w:r>
      <w:r w:rsidR="009D11D1">
        <w:t xml:space="preserve"> </w:t>
      </w:r>
      <w:r w:rsidR="009F7244">
        <w:t xml:space="preserve">on the Treasury’s </w:t>
      </w:r>
      <w:r w:rsidR="007A5381">
        <w:t>website.</w:t>
      </w:r>
      <w:r w:rsidR="009D11D1">
        <w:t xml:space="preserve"> This does not suggest removing the MTDS </w:t>
      </w:r>
      <w:r w:rsidR="009F7244">
        <w:t xml:space="preserve">chapter 6 from the Budget document. However, easy access to the MTDS for investors and potential investors would be useful. </w:t>
      </w:r>
      <w:r w:rsidR="009D11D1">
        <w:t xml:space="preserve">The main topics </w:t>
      </w:r>
      <w:r w:rsidR="00F84C08">
        <w:t xml:space="preserve">which the </w:t>
      </w:r>
      <w:r w:rsidR="002A7C97" w:rsidRPr="00131C02">
        <w:t xml:space="preserve">MTDS </w:t>
      </w:r>
      <w:r w:rsidR="00F84C08">
        <w:t>should</w:t>
      </w:r>
      <w:r w:rsidR="009D11D1">
        <w:t xml:space="preserve"> provide </w:t>
      </w:r>
      <w:r w:rsidR="002A7C97" w:rsidRPr="00131C02">
        <w:t>are:</w:t>
      </w:r>
    </w:p>
    <w:p w14:paraId="7FF22338" w14:textId="77777777" w:rsidR="002A7C97" w:rsidRPr="00131C02" w:rsidRDefault="002A7C97" w:rsidP="002A7C97">
      <w:pPr>
        <w:pStyle w:val="ListParagraph"/>
        <w:numPr>
          <w:ilvl w:val="0"/>
          <w:numId w:val="19"/>
        </w:numPr>
        <w:spacing w:after="200"/>
        <w:jc w:val="both"/>
      </w:pPr>
      <w:r w:rsidRPr="00131C02">
        <w:t>Macroeconomic and Public Debt Overview</w:t>
      </w:r>
      <w:r w:rsidR="009D11D1">
        <w:t xml:space="preserve"> and Statistical Data</w:t>
      </w:r>
      <w:r w:rsidRPr="00131C02">
        <w:t>;</w:t>
      </w:r>
    </w:p>
    <w:p w14:paraId="073E0E10" w14:textId="77777777" w:rsidR="002A7C97" w:rsidRPr="00131C02" w:rsidRDefault="002A7C97" w:rsidP="002A7C97">
      <w:pPr>
        <w:pStyle w:val="ListParagraph"/>
        <w:numPr>
          <w:ilvl w:val="0"/>
          <w:numId w:val="19"/>
        </w:numPr>
        <w:spacing w:after="200"/>
        <w:jc w:val="both"/>
      </w:pPr>
      <w:r w:rsidRPr="00131C02">
        <w:t>Goal and Objectives for the MTDS</w:t>
      </w:r>
      <w:r w:rsidR="009D11D1">
        <w:t xml:space="preserve"> and its Rationale</w:t>
      </w:r>
      <w:r w:rsidRPr="00131C02">
        <w:t>;</w:t>
      </w:r>
    </w:p>
    <w:p w14:paraId="72AE32E2" w14:textId="77777777" w:rsidR="002A7C97" w:rsidRPr="00131C02" w:rsidRDefault="002A7C97" w:rsidP="002A7C97">
      <w:pPr>
        <w:pStyle w:val="ListParagraph"/>
        <w:numPr>
          <w:ilvl w:val="0"/>
          <w:numId w:val="19"/>
        </w:numPr>
        <w:spacing w:after="200"/>
        <w:jc w:val="both"/>
      </w:pPr>
      <w:r w:rsidRPr="00131C02">
        <w:t>Institutional Arrangements;</w:t>
      </w:r>
    </w:p>
    <w:p w14:paraId="1FE2F559" w14:textId="77777777" w:rsidR="002A7C97" w:rsidRDefault="002A7C97" w:rsidP="009D11D1">
      <w:pPr>
        <w:pStyle w:val="ListParagraph"/>
        <w:numPr>
          <w:ilvl w:val="0"/>
          <w:numId w:val="19"/>
        </w:numPr>
        <w:spacing w:after="200"/>
        <w:jc w:val="both"/>
      </w:pPr>
      <w:r w:rsidRPr="00131C02">
        <w:t>Risk Management;</w:t>
      </w:r>
    </w:p>
    <w:p w14:paraId="38D8C185" w14:textId="10C4AC2A" w:rsidR="009D11D1" w:rsidRDefault="009D11D1" w:rsidP="009D11D1">
      <w:pPr>
        <w:pStyle w:val="ListParagraph"/>
        <w:numPr>
          <w:ilvl w:val="0"/>
          <w:numId w:val="19"/>
        </w:numPr>
        <w:spacing w:after="200"/>
        <w:jc w:val="both"/>
      </w:pPr>
      <w:r>
        <w:t>Market Communication</w:t>
      </w:r>
      <w:r w:rsidR="007A5381">
        <w:t>.</w:t>
      </w:r>
    </w:p>
    <w:p w14:paraId="6E84E59A" w14:textId="77777777" w:rsidR="00533ACE" w:rsidRDefault="00533ACE" w:rsidP="00533ACE">
      <w:pPr>
        <w:pStyle w:val="ListParagraph"/>
        <w:spacing w:after="200"/>
        <w:jc w:val="both"/>
      </w:pPr>
    </w:p>
    <w:p w14:paraId="7B69406D" w14:textId="3E1450AF" w:rsidR="009D11D1" w:rsidRDefault="00533ACE" w:rsidP="003E1C57">
      <w:pPr>
        <w:pStyle w:val="ListParagraph"/>
        <w:widowControl w:val="0"/>
        <w:numPr>
          <w:ilvl w:val="0"/>
          <w:numId w:val="2"/>
        </w:numPr>
        <w:spacing w:after="240"/>
        <w:ind w:left="0" w:firstLine="0"/>
        <w:contextualSpacing w:val="0"/>
        <w:jc w:val="both"/>
      </w:pPr>
      <w:r w:rsidRPr="005E537B">
        <w:t>Given the potential</w:t>
      </w:r>
      <w:r>
        <w:t xml:space="preserve"> for PNG issuing a sovereign bond in the internation</w:t>
      </w:r>
      <w:r w:rsidR="00B8440F">
        <w:t>al capital markets, as indicated</w:t>
      </w:r>
      <w:r>
        <w:t xml:space="preserve"> in the MTDS 2013-2107</w:t>
      </w:r>
      <w:r w:rsidR="00B8440F">
        <w:t>,</w:t>
      </w:r>
      <w:r>
        <w:t xml:space="preserve"> </w:t>
      </w:r>
      <w:r w:rsidR="003E1C57">
        <w:t xml:space="preserve">it would be useful to state in the MTDS </w:t>
      </w:r>
      <w:r w:rsidR="00F84C08">
        <w:t xml:space="preserve">the </w:t>
      </w:r>
      <w:r>
        <w:t xml:space="preserve">objectives </w:t>
      </w:r>
      <w:r w:rsidR="005E537B">
        <w:t>for issuing a sovereign bond, to include: (</w:t>
      </w:r>
      <w:proofErr w:type="spellStart"/>
      <w:r w:rsidR="005E537B">
        <w:t>i</w:t>
      </w:r>
      <w:proofErr w:type="spellEnd"/>
      <w:r w:rsidR="005E537B">
        <w:t>)</w:t>
      </w:r>
      <w:r>
        <w:t xml:space="preserve"> </w:t>
      </w:r>
      <w:r w:rsidR="00B8440F">
        <w:t xml:space="preserve">a source of </w:t>
      </w:r>
      <w:r w:rsidR="005E537B">
        <w:t xml:space="preserve">budgetary </w:t>
      </w:r>
      <w:r w:rsidR="00B8440F">
        <w:t xml:space="preserve">funding; </w:t>
      </w:r>
      <w:r w:rsidR="005E537B">
        <w:t xml:space="preserve">(ii) to alleviate potential pressures and or constraints in the domestic government securities market, particularly the T-bill market; (iii) </w:t>
      </w:r>
      <w:r w:rsidR="003E1C57">
        <w:t xml:space="preserve">to </w:t>
      </w:r>
      <w:r>
        <w:t>build up an exte</w:t>
      </w:r>
      <w:r w:rsidR="005E537B">
        <w:t xml:space="preserve">rnal </w:t>
      </w:r>
      <w:r w:rsidR="00B8440F">
        <w:t>presence</w:t>
      </w:r>
      <w:r w:rsidR="005E537B">
        <w:t xml:space="preserve"> in the international sovereign debt markets</w:t>
      </w:r>
      <w:r w:rsidR="003E1C57">
        <w:t xml:space="preserve">. This would be </w:t>
      </w:r>
      <w:r w:rsidR="009F7244">
        <w:t>especially beneficial to the</w:t>
      </w:r>
      <w:r w:rsidR="003E1C57">
        <w:t xml:space="preserve"> international investors.</w:t>
      </w:r>
    </w:p>
    <w:p w14:paraId="0FD97CA1" w14:textId="39608B62" w:rsidR="006C7AEE" w:rsidRPr="009856F1" w:rsidRDefault="006C7AEE" w:rsidP="006C7AEE">
      <w:pPr>
        <w:pStyle w:val="ListParagraph"/>
        <w:widowControl w:val="0"/>
        <w:numPr>
          <w:ilvl w:val="0"/>
          <w:numId w:val="2"/>
        </w:numPr>
        <w:spacing w:after="240"/>
        <w:ind w:left="0" w:firstLine="0"/>
        <w:contextualSpacing w:val="0"/>
        <w:jc w:val="both"/>
        <w:rPr>
          <w:i/>
        </w:rPr>
      </w:pPr>
      <w:r w:rsidRPr="00656BCE">
        <w:t>Treasury</w:t>
      </w:r>
      <w:r w:rsidR="009F7244" w:rsidRPr="00656BCE">
        <w:t xml:space="preserve"> </w:t>
      </w:r>
      <w:r w:rsidR="00F84C08" w:rsidRPr="00656BCE">
        <w:t>and</w:t>
      </w:r>
      <w:r w:rsidR="009F7244" w:rsidRPr="00656BCE">
        <w:t xml:space="preserve"> FMD</w:t>
      </w:r>
      <w:r w:rsidR="009F7244">
        <w:t xml:space="preserve"> </w:t>
      </w:r>
      <w:r w:rsidR="00F84C08">
        <w:t>should</w:t>
      </w:r>
      <w:r w:rsidR="009F7244">
        <w:t xml:space="preserve"> </w:t>
      </w:r>
      <w:r>
        <w:t>consider and prioritize the issuance of</w:t>
      </w:r>
      <w:r w:rsidRPr="006C7AEE">
        <w:t xml:space="preserve"> an</w:t>
      </w:r>
      <w:r w:rsidRPr="00131374">
        <w:t xml:space="preserve"> external bond</w:t>
      </w:r>
      <w:r>
        <w:t xml:space="preserve"> in the international capital markets as a </w:t>
      </w:r>
      <w:r w:rsidR="009F7244">
        <w:t xml:space="preserve">potential </w:t>
      </w:r>
      <w:r>
        <w:t>new source of fund raising to meet the government’s financi</w:t>
      </w:r>
      <w:r w:rsidR="009F7244">
        <w:t xml:space="preserve">ng needs and or project finance. This would provide the Treasury with an </w:t>
      </w:r>
      <w:r w:rsidR="00E83405">
        <w:t>alternative-funding</w:t>
      </w:r>
      <w:r w:rsidR="009F7244">
        <w:t xml:space="preserve"> source should liquidity </w:t>
      </w:r>
      <w:r w:rsidR="00E83405">
        <w:t>constraints</w:t>
      </w:r>
      <w:r w:rsidR="009F7244">
        <w:t xml:space="preserve"> in the domestic market</w:t>
      </w:r>
      <w:r>
        <w:rPr>
          <w:i/>
        </w:rPr>
        <w:t xml:space="preserve"> </w:t>
      </w:r>
      <w:r w:rsidR="00E83405">
        <w:t xml:space="preserve">occur. </w:t>
      </w:r>
      <w:r>
        <w:t>PNG</w:t>
      </w:r>
      <w:r w:rsidRPr="001E4C11">
        <w:t xml:space="preserve"> is classified as a lower middle-income country</w:t>
      </w:r>
      <w:r>
        <w:rPr>
          <w:rStyle w:val="FootnoteReference"/>
        </w:rPr>
        <w:footnoteReference w:id="10"/>
      </w:r>
      <w:r>
        <w:t xml:space="preserve"> </w:t>
      </w:r>
      <w:r w:rsidRPr="001E4C11">
        <w:t>and has achieved ‘blend’ status, which enables the country to source concessional financing and at the same time deemed credit-worthy to access market based finance</w:t>
      </w:r>
      <w:r>
        <w:t xml:space="preserve">. Establishing an external PNG sovereign bond benchmark will provide the Treasury with further access to market based external finance in the future, as concessional funds (low interest rates) potentially will no longer be available. </w:t>
      </w:r>
    </w:p>
    <w:p w14:paraId="37BEBE89" w14:textId="687A88DB" w:rsidR="009856F1" w:rsidRPr="001963AD" w:rsidRDefault="009856F1" w:rsidP="009856F1">
      <w:pPr>
        <w:pStyle w:val="ListParagraph"/>
        <w:widowControl w:val="0"/>
        <w:numPr>
          <w:ilvl w:val="0"/>
          <w:numId w:val="2"/>
        </w:numPr>
        <w:spacing w:after="240"/>
        <w:ind w:left="0" w:firstLine="0"/>
        <w:contextualSpacing w:val="0"/>
        <w:jc w:val="both"/>
        <w:rPr>
          <w:i/>
        </w:rPr>
      </w:pPr>
      <w:r w:rsidRPr="009856F1">
        <w:rPr>
          <w:rFonts w:ascii="Times" w:hAnsi="Times" w:cs="Times"/>
          <w:color w:val="303233"/>
          <w:sz w:val="28"/>
          <w:szCs w:val="28"/>
        </w:rPr>
        <w:lastRenderedPageBreak/>
        <w:t>J</w:t>
      </w:r>
      <w:r w:rsidRPr="009856F1">
        <w:t>.P. Morgan Emerging Market Bond Index (EMBI) is the most widely used and comprehensive emerging market sovereign debt benchmarks. This is a benchmark index for measuring the total return performance of international government bonds issued by emerging market countries that are cons</w:t>
      </w:r>
      <w:r w:rsidR="00CD02E7">
        <w:t>idered sovereign</w:t>
      </w:r>
      <w:r w:rsidRPr="009856F1">
        <w:t xml:space="preserve"> and that meet specific liquidity and structural requirements. </w:t>
      </w:r>
      <w:r w:rsidRPr="001963AD">
        <w:rPr>
          <w:i/>
        </w:rPr>
        <w:t xml:space="preserve">In order to qualify for index membership, the debt must be more than one year to maturity, have more than </w:t>
      </w:r>
      <w:r w:rsidRPr="00E71075">
        <w:rPr>
          <w:i/>
          <w:u w:val="single"/>
        </w:rPr>
        <w:t>$500 million</w:t>
      </w:r>
      <w:r w:rsidRPr="001963AD">
        <w:rPr>
          <w:i/>
        </w:rPr>
        <w:t xml:space="preserve"> outstanding, and meet stringent trading guidelines to ensure that pricing inefficiencies don't affect the index.</w:t>
      </w:r>
    </w:p>
    <w:p w14:paraId="258ED6AD" w14:textId="77777777" w:rsidR="004B4848" w:rsidRDefault="00E83405" w:rsidP="00F04788">
      <w:pPr>
        <w:pStyle w:val="ListParagraph"/>
        <w:widowControl w:val="0"/>
        <w:numPr>
          <w:ilvl w:val="0"/>
          <w:numId w:val="2"/>
        </w:numPr>
        <w:spacing w:after="240"/>
        <w:ind w:left="0" w:firstLine="0"/>
        <w:contextualSpacing w:val="0"/>
        <w:jc w:val="both"/>
        <w:rPr>
          <w:rFonts w:cs="Times New Roman"/>
        </w:rPr>
      </w:pPr>
      <w:r>
        <w:t>Given the un</w:t>
      </w:r>
      <w:r w:rsidR="000F1BD5">
        <w:t xml:space="preserve">even maturity profile of the outstanding stock of government debt with a high concentration falling due within 12-months along with bullet inscribed stock maturing within the same period, </w:t>
      </w:r>
      <w:r w:rsidR="000F1BD5">
        <w:rPr>
          <w:rFonts w:cs="Times New Roman"/>
        </w:rPr>
        <w:t>t</w:t>
      </w:r>
      <w:r w:rsidR="000F1BD5">
        <w:t xml:space="preserve">he Treasury and FMD should </w:t>
      </w:r>
      <w:r w:rsidR="00FA2277">
        <w:rPr>
          <w:rFonts w:cs="Times New Roman"/>
        </w:rPr>
        <w:t>d</w:t>
      </w:r>
      <w:r w:rsidR="00052CC6" w:rsidRPr="000F1BD5">
        <w:rPr>
          <w:rFonts w:cs="Times New Roman"/>
        </w:rPr>
        <w:t>evelop</w:t>
      </w:r>
      <w:r w:rsidR="00B8440F">
        <w:rPr>
          <w:rFonts w:cs="Times New Roman"/>
        </w:rPr>
        <w:t xml:space="preserve"> and adopt </w:t>
      </w:r>
      <w:r w:rsidR="00052CC6" w:rsidRPr="000F1BD5">
        <w:rPr>
          <w:rFonts w:cs="Times New Roman"/>
        </w:rPr>
        <w:t xml:space="preserve">a MTDS policy to </w:t>
      </w:r>
      <w:r w:rsidR="00FA2277">
        <w:rPr>
          <w:rFonts w:cs="Times New Roman"/>
        </w:rPr>
        <w:t xml:space="preserve">proactively </w:t>
      </w:r>
      <w:r w:rsidR="00052CC6" w:rsidRPr="000F1BD5">
        <w:rPr>
          <w:rFonts w:cs="Times New Roman"/>
        </w:rPr>
        <w:t>manage refinancing and liquidity risks;</w:t>
      </w:r>
    </w:p>
    <w:p w14:paraId="73CE6870" w14:textId="77777777" w:rsidR="00B8440F" w:rsidRPr="00B8440F" w:rsidRDefault="00B8440F" w:rsidP="00B8440F">
      <w:pPr>
        <w:pStyle w:val="ListParagraph"/>
        <w:widowControl w:val="0"/>
        <w:numPr>
          <w:ilvl w:val="0"/>
          <w:numId w:val="17"/>
        </w:numPr>
        <w:spacing w:after="240"/>
        <w:contextualSpacing w:val="0"/>
        <w:jc w:val="both"/>
        <w:rPr>
          <w:rFonts w:cs="Times New Roman"/>
        </w:rPr>
      </w:pPr>
      <w:r w:rsidRPr="00D9242A">
        <w:rPr>
          <w:rFonts w:cs="Times New Roman"/>
          <w:i/>
        </w:rPr>
        <w:t>Liquidity risk:</w:t>
      </w:r>
      <w:r>
        <w:rPr>
          <w:rFonts w:cs="Times New Roman"/>
        </w:rPr>
        <w:t xml:space="preserve"> </w:t>
      </w:r>
      <w:r w:rsidRPr="00052CC6">
        <w:rPr>
          <w:rFonts w:cs="Times New Roman"/>
        </w:rPr>
        <w:t xml:space="preserve">a situation where the volume of liquid assets diminishes quickly as a result of unanticipated cash flow obligations and/or a possible difficulty in raising cash through borrowing in a short period of time. </w:t>
      </w:r>
    </w:p>
    <w:p w14:paraId="5089765D" w14:textId="77777777" w:rsidR="00052CC6" w:rsidRDefault="00052CC6" w:rsidP="00F04788">
      <w:pPr>
        <w:pStyle w:val="ListParagraph"/>
        <w:widowControl w:val="0"/>
        <w:numPr>
          <w:ilvl w:val="0"/>
          <w:numId w:val="17"/>
        </w:numPr>
        <w:spacing w:after="240"/>
        <w:contextualSpacing w:val="0"/>
        <w:jc w:val="both"/>
        <w:rPr>
          <w:rFonts w:cs="Times New Roman"/>
        </w:rPr>
      </w:pPr>
      <w:r w:rsidRPr="00D9242A">
        <w:rPr>
          <w:rFonts w:cs="Times New Roman"/>
          <w:i/>
        </w:rPr>
        <w:t>Refinancing risk:</w:t>
      </w:r>
      <w:r w:rsidRPr="00052CC6">
        <w:rPr>
          <w:rFonts w:cs="Times New Roman"/>
        </w:rPr>
        <w:t xml:space="preserve"> the inability to refinance maturing debt and/or at exceptionally large increases in government funding costs, the latter is a type of interest rate risk.</w:t>
      </w:r>
    </w:p>
    <w:p w14:paraId="2062F40F" w14:textId="554E7CA8" w:rsidR="009856F1" w:rsidRPr="009856F1" w:rsidRDefault="00FA2277" w:rsidP="009856F1">
      <w:pPr>
        <w:pStyle w:val="ListParagraph"/>
        <w:widowControl w:val="0"/>
        <w:numPr>
          <w:ilvl w:val="0"/>
          <w:numId w:val="2"/>
        </w:numPr>
        <w:spacing w:after="240"/>
        <w:ind w:left="0" w:firstLine="0"/>
        <w:contextualSpacing w:val="0"/>
        <w:jc w:val="both"/>
        <w:rPr>
          <w:rFonts w:cs="Times New Roman"/>
        </w:rPr>
      </w:pPr>
      <w:r w:rsidRPr="00656BCE">
        <w:rPr>
          <w:rFonts w:cs="Times New Roman"/>
        </w:rPr>
        <w:t xml:space="preserve">To mitigate </w:t>
      </w:r>
      <w:r w:rsidRPr="00656BCE">
        <w:rPr>
          <w:rFonts w:cs="Times New Roman"/>
          <w:i/>
        </w:rPr>
        <w:t>liquidity risk</w:t>
      </w:r>
      <w:r>
        <w:rPr>
          <w:rFonts w:cs="Times New Roman"/>
        </w:rPr>
        <w:t xml:space="preserve"> would </w:t>
      </w:r>
      <w:r w:rsidR="00F84C08">
        <w:rPr>
          <w:rFonts w:cs="Times New Roman"/>
        </w:rPr>
        <w:t xml:space="preserve">entail </w:t>
      </w:r>
      <w:r w:rsidR="00052CC6" w:rsidRPr="00052CC6">
        <w:rPr>
          <w:rFonts w:cs="Times New Roman"/>
        </w:rPr>
        <w:t>maintaining a</w:t>
      </w:r>
      <w:r w:rsidR="00F84C08">
        <w:rPr>
          <w:rFonts w:cs="Times New Roman"/>
        </w:rPr>
        <w:t>n adequate</w:t>
      </w:r>
      <w:r w:rsidR="00052CC6" w:rsidRPr="00052CC6">
        <w:rPr>
          <w:rFonts w:cs="Times New Roman"/>
        </w:rPr>
        <w:t xml:space="preserve"> </w:t>
      </w:r>
      <w:r w:rsidR="00052CC6" w:rsidRPr="00E83405">
        <w:rPr>
          <w:rFonts w:cs="Times New Roman"/>
          <w:i/>
        </w:rPr>
        <w:t>cash buffer</w:t>
      </w:r>
      <w:r w:rsidR="00052CC6" w:rsidRPr="00052CC6">
        <w:rPr>
          <w:rFonts w:cs="Times New Roman"/>
        </w:rPr>
        <w:t xml:space="preserve"> in the government’s account e.g. cash against a predetermined forthcoming expenditures.</w:t>
      </w:r>
      <w:r>
        <w:rPr>
          <w:rFonts w:cs="Times New Roman"/>
        </w:rPr>
        <w:t xml:space="preserve"> To ensure the cash buffer does not get lost in the government’s account a </w:t>
      </w:r>
      <w:r w:rsidRPr="009856F1">
        <w:rPr>
          <w:rFonts w:cs="Times New Roman"/>
          <w:i/>
        </w:rPr>
        <w:t>sinking fund</w:t>
      </w:r>
      <w:r>
        <w:rPr>
          <w:rFonts w:cs="Times New Roman"/>
        </w:rPr>
        <w:t xml:space="preserve"> could be considered.</w:t>
      </w:r>
      <w:r w:rsidR="00656BCE">
        <w:rPr>
          <w:rFonts w:cs="Times New Roman"/>
        </w:rPr>
        <w:t xml:space="preserve"> Any funds or accounts established would require legislation to support the fund from the budget.</w:t>
      </w:r>
    </w:p>
    <w:p w14:paraId="2170F7D4" w14:textId="77777777" w:rsidR="009856F1" w:rsidRDefault="009856F1" w:rsidP="009856F1">
      <w:pPr>
        <w:pStyle w:val="ListParagraph"/>
        <w:widowControl w:val="0"/>
        <w:numPr>
          <w:ilvl w:val="0"/>
          <w:numId w:val="39"/>
        </w:numPr>
        <w:autoSpaceDE w:val="0"/>
        <w:autoSpaceDN w:val="0"/>
        <w:adjustRightInd w:val="0"/>
        <w:jc w:val="both"/>
        <w:rPr>
          <w:rFonts w:cs="Times New Roman"/>
        </w:rPr>
      </w:pPr>
      <w:r w:rsidRPr="0027775A">
        <w:rPr>
          <w:rFonts w:cs="Times New Roman"/>
        </w:rPr>
        <w:t>Partly as a response to the funding pressures since the financial crisis erupted, there has been a</w:t>
      </w:r>
      <w:r>
        <w:rPr>
          <w:rFonts w:cs="Times New Roman"/>
        </w:rPr>
        <w:t xml:space="preserve"> </w:t>
      </w:r>
      <w:r w:rsidRPr="0027775A">
        <w:rPr>
          <w:rFonts w:cs="Times New Roman"/>
        </w:rPr>
        <w:t>tendency among some government issuers to issue more than what is strictly needed in a given year.</w:t>
      </w:r>
    </w:p>
    <w:p w14:paraId="05E03658" w14:textId="77777777" w:rsidR="009856F1" w:rsidRPr="0027775A" w:rsidRDefault="009856F1" w:rsidP="009856F1">
      <w:pPr>
        <w:pStyle w:val="ListParagraph"/>
        <w:widowControl w:val="0"/>
        <w:autoSpaceDE w:val="0"/>
        <w:autoSpaceDN w:val="0"/>
        <w:adjustRightInd w:val="0"/>
        <w:jc w:val="both"/>
        <w:rPr>
          <w:rFonts w:cs="Times New Roman"/>
        </w:rPr>
      </w:pPr>
    </w:p>
    <w:p w14:paraId="05917589" w14:textId="77777777" w:rsidR="009856F1" w:rsidRDefault="009856F1" w:rsidP="009856F1">
      <w:pPr>
        <w:pStyle w:val="ListParagraph"/>
        <w:widowControl w:val="0"/>
        <w:numPr>
          <w:ilvl w:val="0"/>
          <w:numId w:val="39"/>
        </w:numPr>
        <w:autoSpaceDE w:val="0"/>
        <w:autoSpaceDN w:val="0"/>
        <w:adjustRightInd w:val="0"/>
        <w:jc w:val="both"/>
        <w:rPr>
          <w:rFonts w:cs="Times New Roman"/>
        </w:rPr>
      </w:pPr>
      <w:r>
        <w:rPr>
          <w:rFonts w:cs="Times New Roman"/>
        </w:rPr>
        <w:t xml:space="preserve">The </w:t>
      </w:r>
      <w:r w:rsidRPr="0027775A">
        <w:rPr>
          <w:rFonts w:cs="Times New Roman"/>
        </w:rPr>
        <w:t xml:space="preserve">motive is to prefund known future liabilities, most notably close-to-maturity government bonds, in periods with high uncertainty about economic growth and high market volatility. In that situation, governments, that enjoy currently good access to capital markets at relatively </w:t>
      </w:r>
      <w:r w:rsidRPr="00255743">
        <w:rPr>
          <w:rFonts w:cs="Times New Roman"/>
          <w:i/>
        </w:rPr>
        <w:t>favorable</w:t>
      </w:r>
      <w:r w:rsidRPr="0027775A">
        <w:rPr>
          <w:rFonts w:cs="Times New Roman"/>
        </w:rPr>
        <w:t xml:space="preserve"> borrowing costs, may decide to prefund.</w:t>
      </w:r>
    </w:p>
    <w:p w14:paraId="3856B8A6" w14:textId="77777777" w:rsidR="009856F1" w:rsidRPr="00255743" w:rsidRDefault="009856F1" w:rsidP="009856F1">
      <w:pPr>
        <w:widowControl w:val="0"/>
        <w:autoSpaceDE w:val="0"/>
        <w:autoSpaceDN w:val="0"/>
        <w:adjustRightInd w:val="0"/>
        <w:jc w:val="both"/>
        <w:rPr>
          <w:rFonts w:cs="Times New Roman"/>
        </w:rPr>
      </w:pPr>
    </w:p>
    <w:p w14:paraId="066C049B" w14:textId="5168E013" w:rsidR="009856F1" w:rsidRDefault="009856F1" w:rsidP="009856F1">
      <w:pPr>
        <w:pStyle w:val="ListParagraph"/>
        <w:widowControl w:val="0"/>
        <w:numPr>
          <w:ilvl w:val="0"/>
          <w:numId w:val="39"/>
        </w:numPr>
        <w:autoSpaceDE w:val="0"/>
        <w:autoSpaceDN w:val="0"/>
        <w:adjustRightInd w:val="0"/>
        <w:jc w:val="both"/>
        <w:rPr>
          <w:rFonts w:cs="Times New Roman"/>
        </w:rPr>
      </w:pPr>
      <w:r>
        <w:rPr>
          <w:rFonts w:cs="Times New Roman"/>
        </w:rPr>
        <w:t>The debt manager may decide to hold the proceeds in very liquid form (cash) or invest in credit-risk free instruments, which match the maturity to the prefunded liability. The investment should mature before the maturing bond.</w:t>
      </w:r>
    </w:p>
    <w:p w14:paraId="3F690BD9" w14:textId="77777777" w:rsidR="009856F1" w:rsidRPr="009856F1" w:rsidRDefault="009856F1" w:rsidP="009856F1">
      <w:pPr>
        <w:widowControl w:val="0"/>
        <w:autoSpaceDE w:val="0"/>
        <w:autoSpaceDN w:val="0"/>
        <w:adjustRightInd w:val="0"/>
        <w:jc w:val="both"/>
        <w:rPr>
          <w:rFonts w:cs="Times New Roman"/>
        </w:rPr>
      </w:pPr>
    </w:p>
    <w:p w14:paraId="32901677" w14:textId="49C642D2" w:rsidR="00FA2277" w:rsidRDefault="00FA2277" w:rsidP="00EB3775">
      <w:pPr>
        <w:pStyle w:val="ListParagraph"/>
        <w:widowControl w:val="0"/>
        <w:numPr>
          <w:ilvl w:val="0"/>
          <w:numId w:val="2"/>
        </w:numPr>
        <w:spacing w:after="240"/>
        <w:ind w:left="0" w:firstLine="0"/>
        <w:contextualSpacing w:val="0"/>
        <w:jc w:val="both"/>
        <w:rPr>
          <w:rFonts w:cs="Times New Roman"/>
        </w:rPr>
      </w:pPr>
      <w:r w:rsidRPr="00656BCE">
        <w:rPr>
          <w:rFonts w:cs="Times New Roman"/>
        </w:rPr>
        <w:t xml:space="preserve">To mitigate </w:t>
      </w:r>
      <w:r w:rsidRPr="00656BCE">
        <w:rPr>
          <w:rFonts w:cs="Times New Roman"/>
          <w:i/>
        </w:rPr>
        <w:t>refinancing risk</w:t>
      </w:r>
      <w:r>
        <w:rPr>
          <w:rFonts w:cs="Times New Roman"/>
        </w:rPr>
        <w:t xml:space="preserve"> as well as </w:t>
      </w:r>
      <w:r w:rsidR="00ED2119">
        <w:rPr>
          <w:rFonts w:cs="Times New Roman"/>
        </w:rPr>
        <w:t xml:space="preserve">providing </w:t>
      </w:r>
      <w:r w:rsidR="00131374">
        <w:rPr>
          <w:rFonts w:cs="Times New Roman"/>
        </w:rPr>
        <w:t>tools to adjust the government’s maturity profile</w:t>
      </w:r>
      <w:r w:rsidR="00B8440F">
        <w:rPr>
          <w:rFonts w:cs="Times New Roman"/>
        </w:rPr>
        <w:t>,</w:t>
      </w:r>
      <w:r>
        <w:rPr>
          <w:rFonts w:cs="Times New Roman"/>
        </w:rPr>
        <w:t xml:space="preserve"> </w:t>
      </w:r>
      <w:r w:rsidR="00131374">
        <w:rPr>
          <w:rFonts w:cs="Times New Roman"/>
        </w:rPr>
        <w:t xml:space="preserve">if desired, the MTDS </w:t>
      </w:r>
      <w:r w:rsidR="00F84C08">
        <w:rPr>
          <w:rFonts w:cs="Times New Roman"/>
        </w:rPr>
        <w:t xml:space="preserve">should incorporate </w:t>
      </w:r>
      <w:r>
        <w:rPr>
          <w:rFonts w:cs="Times New Roman"/>
        </w:rPr>
        <w:t xml:space="preserve">the </w:t>
      </w:r>
      <w:r w:rsidR="00E83405">
        <w:rPr>
          <w:rFonts w:cs="Times New Roman"/>
        </w:rPr>
        <w:t>potential use and</w:t>
      </w:r>
      <w:r w:rsidR="00131374">
        <w:rPr>
          <w:rFonts w:cs="Times New Roman"/>
        </w:rPr>
        <w:t xml:space="preserve"> process for</w:t>
      </w:r>
      <w:r>
        <w:rPr>
          <w:rFonts w:cs="Times New Roman"/>
        </w:rPr>
        <w:t xml:space="preserve"> buybacks and switches:</w:t>
      </w:r>
    </w:p>
    <w:p w14:paraId="5CBAB22A" w14:textId="77777777" w:rsidR="000F1BD5" w:rsidRPr="00F223B8" w:rsidRDefault="000F1BD5" w:rsidP="00F04788">
      <w:pPr>
        <w:pStyle w:val="ListParagraph"/>
        <w:widowControl w:val="0"/>
        <w:numPr>
          <w:ilvl w:val="0"/>
          <w:numId w:val="17"/>
        </w:numPr>
        <w:spacing w:after="240"/>
        <w:contextualSpacing w:val="0"/>
        <w:jc w:val="both"/>
        <w:rPr>
          <w:i/>
        </w:rPr>
      </w:pPr>
      <w:r w:rsidRPr="00E83405">
        <w:rPr>
          <w:i/>
        </w:rPr>
        <w:t>Buybacks</w:t>
      </w:r>
      <w:r w:rsidRPr="0040148F">
        <w:t xml:space="preserve"> – older less liquid government bonds are purchased for cash. Typically a “reverse auction” is conducted as a competitive tender to repurchase older less liquid government bonds, where the Ministry of Finance places bids, via the fiscal </w:t>
      </w:r>
      <w:r w:rsidRPr="0040148F">
        <w:lastRenderedPageBreak/>
        <w:t>agent, to the holders of securities.</w:t>
      </w:r>
    </w:p>
    <w:p w14:paraId="0151D46C" w14:textId="77777777" w:rsidR="000F1BD5" w:rsidRDefault="000F1BD5" w:rsidP="00F04788">
      <w:pPr>
        <w:pStyle w:val="ListParagraph"/>
        <w:widowControl w:val="0"/>
        <w:numPr>
          <w:ilvl w:val="0"/>
          <w:numId w:val="17"/>
        </w:numPr>
        <w:spacing w:after="240"/>
        <w:contextualSpacing w:val="0"/>
        <w:jc w:val="both"/>
      </w:pPr>
      <w:r w:rsidRPr="0040148F">
        <w:t>S</w:t>
      </w:r>
      <w:r w:rsidRPr="00E83405">
        <w:rPr>
          <w:i/>
        </w:rPr>
        <w:t xml:space="preserve">witches </w:t>
      </w:r>
      <w:r w:rsidRPr="0040148F">
        <w:t>(often referred to as exchanges) – older less liquid government bonds are switched for a new benchmark issue. Similar to buybacks, switch operations are typically conducted same day.</w:t>
      </w:r>
    </w:p>
    <w:p w14:paraId="3B4EDA93" w14:textId="2A89A17A" w:rsidR="00B8440F" w:rsidRDefault="009856F1" w:rsidP="00B8440F">
      <w:pPr>
        <w:pStyle w:val="ListParagraph"/>
        <w:widowControl w:val="0"/>
        <w:numPr>
          <w:ilvl w:val="0"/>
          <w:numId w:val="2"/>
        </w:numPr>
        <w:spacing w:after="240"/>
        <w:ind w:left="0" w:firstLine="0"/>
        <w:contextualSpacing w:val="0"/>
        <w:jc w:val="both"/>
        <w:rPr>
          <w:rFonts w:cs="Times New Roman"/>
        </w:rPr>
      </w:pPr>
      <w:r>
        <w:rPr>
          <w:rFonts w:cs="Times New Roman"/>
        </w:rPr>
        <w:t>Bond Buyback and S</w:t>
      </w:r>
      <w:r w:rsidR="00406561" w:rsidRPr="00720653">
        <w:rPr>
          <w:rFonts w:cs="Times New Roman"/>
        </w:rPr>
        <w:t>witch oper</w:t>
      </w:r>
      <w:r w:rsidR="00B8440F">
        <w:rPr>
          <w:rFonts w:cs="Times New Roman"/>
        </w:rPr>
        <w:t>ations serve two main purposes:</w:t>
      </w:r>
    </w:p>
    <w:p w14:paraId="5B23FABD" w14:textId="77777777" w:rsidR="00406561" w:rsidRPr="00720653" w:rsidRDefault="00406561" w:rsidP="00B8440F">
      <w:pPr>
        <w:pStyle w:val="ListParagraph"/>
        <w:widowControl w:val="0"/>
        <w:numPr>
          <w:ilvl w:val="0"/>
          <w:numId w:val="31"/>
        </w:numPr>
        <w:spacing w:after="240"/>
        <w:contextualSpacing w:val="0"/>
        <w:jc w:val="both"/>
        <w:rPr>
          <w:rFonts w:cs="Times New Roman"/>
        </w:rPr>
      </w:pPr>
      <w:r w:rsidRPr="00720653">
        <w:rPr>
          <w:rFonts w:cs="Times New Roman"/>
        </w:rPr>
        <w:t>First, by reducing the outstanding amounts of bonds close to maturity, switches and buybacks help in reducing rollover peaks and thus lowering refinancing risk.</w:t>
      </w:r>
    </w:p>
    <w:p w14:paraId="0E5718F4" w14:textId="77777777" w:rsidR="00406561" w:rsidRDefault="00406561" w:rsidP="00B8440F">
      <w:pPr>
        <w:pStyle w:val="ListParagraph"/>
        <w:widowControl w:val="0"/>
        <w:numPr>
          <w:ilvl w:val="0"/>
          <w:numId w:val="31"/>
        </w:numPr>
        <w:spacing w:after="240"/>
        <w:contextualSpacing w:val="0"/>
        <w:jc w:val="both"/>
        <w:rPr>
          <w:rFonts w:cs="Times New Roman"/>
        </w:rPr>
      </w:pPr>
      <w:r w:rsidRPr="00720653">
        <w:rPr>
          <w:rFonts w:cs="Times New Roman"/>
        </w:rPr>
        <w:t>Second, buybacks and switches allow debt managers to increase the issuance of new on-the-run</w:t>
      </w:r>
      <w:r>
        <w:rPr>
          <w:rFonts w:cs="Times New Roman"/>
          <w:sz w:val="20"/>
          <w:szCs w:val="20"/>
        </w:rPr>
        <w:t xml:space="preserve"> </w:t>
      </w:r>
      <w:r>
        <w:rPr>
          <w:rStyle w:val="FootnoteReference"/>
          <w:rFonts w:cs="Times New Roman"/>
          <w:sz w:val="20"/>
          <w:szCs w:val="20"/>
        </w:rPr>
        <w:footnoteReference w:id="11"/>
      </w:r>
      <w:r w:rsidR="006C7AEE">
        <w:rPr>
          <w:rFonts w:cs="Times New Roman"/>
          <w:sz w:val="20"/>
          <w:szCs w:val="20"/>
        </w:rPr>
        <w:t xml:space="preserve"> </w:t>
      </w:r>
      <w:r w:rsidRPr="00720653">
        <w:rPr>
          <w:rFonts w:cs="Times New Roman"/>
        </w:rPr>
        <w:t>securities by taking out of circulation old illiquid off-the-run</w:t>
      </w:r>
      <w:r>
        <w:rPr>
          <w:rStyle w:val="FootnoteReference"/>
          <w:rFonts w:cs="Times New Roman"/>
        </w:rPr>
        <w:footnoteReference w:id="12"/>
      </w:r>
      <w:r w:rsidRPr="00720653">
        <w:rPr>
          <w:rFonts w:cs="Times New Roman"/>
        </w:rPr>
        <w:t xml:space="preserve"> issues. The resulting more rapid build-up of new benchmark bonds enhances market liquidity of these securities. In addition these operations may also contribute to lower funding costs for governments</w:t>
      </w:r>
      <w:r>
        <w:rPr>
          <w:rFonts w:cs="Times New Roman"/>
        </w:rPr>
        <w:t>.</w:t>
      </w:r>
    </w:p>
    <w:p w14:paraId="3E64F885" w14:textId="369AFD2B" w:rsidR="006C7AEE" w:rsidRPr="006C7AEE" w:rsidRDefault="00BF607A" w:rsidP="006C7AEE">
      <w:pPr>
        <w:pStyle w:val="ListParagraph"/>
        <w:widowControl w:val="0"/>
        <w:numPr>
          <w:ilvl w:val="0"/>
          <w:numId w:val="2"/>
        </w:numPr>
        <w:spacing w:after="240"/>
        <w:ind w:left="0" w:firstLine="0"/>
        <w:contextualSpacing w:val="0"/>
        <w:jc w:val="both"/>
        <w:rPr>
          <w:rFonts w:cs="Times New Roman"/>
        </w:rPr>
      </w:pPr>
      <w:r>
        <w:rPr>
          <w:rFonts w:cs="Times New Roman"/>
        </w:rPr>
        <w:t>To achieve effective execution of these</w:t>
      </w:r>
      <w:r w:rsidR="006C7AEE" w:rsidRPr="006C7AEE">
        <w:rPr>
          <w:rFonts w:cs="Times New Roman"/>
        </w:rPr>
        <w:t xml:space="preserve"> strategic ac</w:t>
      </w:r>
      <w:r w:rsidR="00E83405">
        <w:rPr>
          <w:rFonts w:cs="Times New Roman"/>
        </w:rPr>
        <w:t>tivities, should they be adopted,</w:t>
      </w:r>
      <w:r w:rsidR="006C7AEE" w:rsidRPr="006C7AEE">
        <w:rPr>
          <w:rFonts w:cs="Times New Roman"/>
        </w:rPr>
        <w:t xml:space="preserve"> </w:t>
      </w:r>
      <w:r w:rsidR="00E83405">
        <w:rPr>
          <w:rFonts w:cs="Times New Roman"/>
        </w:rPr>
        <w:t xml:space="preserve">careful consideration </w:t>
      </w:r>
      <w:r w:rsidR="00BE332D">
        <w:rPr>
          <w:rFonts w:cs="Times New Roman"/>
        </w:rPr>
        <w:t xml:space="preserve">should be given </w:t>
      </w:r>
      <w:r w:rsidR="00E83405">
        <w:rPr>
          <w:rFonts w:cs="Times New Roman"/>
        </w:rPr>
        <w:t>to includ</w:t>
      </w:r>
      <w:r w:rsidR="00BE332D">
        <w:rPr>
          <w:rFonts w:cs="Times New Roman"/>
        </w:rPr>
        <w:t>ing</w:t>
      </w:r>
      <w:r w:rsidR="006C7AEE" w:rsidRPr="006C7AEE">
        <w:rPr>
          <w:rFonts w:cs="Times New Roman"/>
        </w:rPr>
        <w:t>:</w:t>
      </w:r>
    </w:p>
    <w:p w14:paraId="429EE2C7" w14:textId="77777777" w:rsidR="006C7AEE" w:rsidRPr="006C7AEE" w:rsidRDefault="006C7AEE" w:rsidP="006C7AEE">
      <w:pPr>
        <w:pStyle w:val="ListParagraph"/>
        <w:numPr>
          <w:ilvl w:val="0"/>
          <w:numId w:val="33"/>
        </w:numPr>
        <w:jc w:val="both"/>
        <w:rPr>
          <w:rFonts w:cs="Times New Roman"/>
        </w:rPr>
      </w:pPr>
      <w:r w:rsidRPr="006C7AEE">
        <w:rPr>
          <w:rFonts w:cs="Times New Roman"/>
        </w:rPr>
        <w:t>Assess debt market and macroeconomics dynamics and conditions to determine whether these operations are in best interest of the domestic debt markets and do not potentially cause any market disruptions, anomalies, or volatility;</w:t>
      </w:r>
    </w:p>
    <w:p w14:paraId="646ECBAD" w14:textId="77777777" w:rsidR="006C7AEE" w:rsidRPr="006C7AEE" w:rsidRDefault="006C7AEE" w:rsidP="006C7AEE">
      <w:pPr>
        <w:pStyle w:val="ListParagraph"/>
        <w:ind w:left="1080"/>
        <w:jc w:val="both"/>
        <w:rPr>
          <w:rFonts w:cs="Times New Roman"/>
        </w:rPr>
      </w:pPr>
    </w:p>
    <w:p w14:paraId="09888E75" w14:textId="77777777" w:rsidR="006C7AEE" w:rsidRPr="006C7AEE" w:rsidRDefault="006C7AEE" w:rsidP="006C7AEE">
      <w:pPr>
        <w:pStyle w:val="ListParagraph"/>
        <w:numPr>
          <w:ilvl w:val="0"/>
          <w:numId w:val="33"/>
        </w:numPr>
        <w:jc w:val="both"/>
        <w:rPr>
          <w:rFonts w:cs="Times New Roman"/>
        </w:rPr>
      </w:pPr>
      <w:r w:rsidRPr="006C7AEE">
        <w:rPr>
          <w:rFonts w:cs="Times New Roman"/>
        </w:rPr>
        <w:t>Investor consultations will be recommended to first explain the mechanisms for buybacks and or switc</w:t>
      </w:r>
      <w:r w:rsidR="00EB3775">
        <w:rPr>
          <w:rFonts w:cs="Times New Roman"/>
        </w:rPr>
        <w:t>hes and the FMD</w:t>
      </w:r>
      <w:r w:rsidR="00E83405">
        <w:rPr>
          <w:rFonts w:cs="Times New Roman"/>
        </w:rPr>
        <w:t>’s rationale for executing such</w:t>
      </w:r>
      <w:r w:rsidRPr="006C7AEE">
        <w:rPr>
          <w:rFonts w:cs="Times New Roman"/>
        </w:rPr>
        <w:t xml:space="preserve"> strategies;</w:t>
      </w:r>
    </w:p>
    <w:p w14:paraId="590069E5" w14:textId="77777777" w:rsidR="00A65D6F" w:rsidRPr="00A65D6F" w:rsidRDefault="00A65D6F" w:rsidP="00A65D6F">
      <w:pPr>
        <w:jc w:val="both"/>
        <w:rPr>
          <w:rFonts w:cs="Times New Roman"/>
        </w:rPr>
      </w:pPr>
    </w:p>
    <w:p w14:paraId="3221E2A4" w14:textId="1EE35317" w:rsidR="00A65D6F" w:rsidRPr="006C7AEE" w:rsidRDefault="00A65D6F" w:rsidP="006C7AEE">
      <w:pPr>
        <w:pStyle w:val="ListParagraph"/>
        <w:numPr>
          <w:ilvl w:val="0"/>
          <w:numId w:val="33"/>
        </w:numPr>
        <w:jc w:val="both"/>
        <w:rPr>
          <w:rFonts w:cs="Times New Roman"/>
        </w:rPr>
      </w:pPr>
      <w:r>
        <w:rPr>
          <w:rFonts w:cs="Times New Roman"/>
        </w:rPr>
        <w:t xml:space="preserve">Determine FMD’s internal </w:t>
      </w:r>
      <w:r w:rsidR="0007197B">
        <w:rPr>
          <w:rFonts w:cs="Times New Roman"/>
        </w:rPr>
        <w:t>capacity to plan, negotiate, and execute these strategies;</w:t>
      </w:r>
    </w:p>
    <w:p w14:paraId="2039FFC3" w14:textId="77777777" w:rsidR="006C7AEE" w:rsidRPr="00BF607A" w:rsidRDefault="006C7AEE" w:rsidP="00BF607A">
      <w:pPr>
        <w:jc w:val="both"/>
        <w:rPr>
          <w:rFonts w:ascii="Arial" w:hAnsi="Arial" w:cs="Arial"/>
        </w:rPr>
      </w:pPr>
    </w:p>
    <w:p w14:paraId="6C15B18E" w14:textId="77777777" w:rsidR="006C7AEE" w:rsidRPr="006C7AEE" w:rsidRDefault="006C7AEE" w:rsidP="006C7AEE">
      <w:pPr>
        <w:pStyle w:val="ListParagraph"/>
        <w:numPr>
          <w:ilvl w:val="0"/>
          <w:numId w:val="33"/>
        </w:numPr>
        <w:jc w:val="both"/>
        <w:rPr>
          <w:rFonts w:cs="Times New Roman"/>
        </w:rPr>
      </w:pPr>
      <w:r w:rsidRPr="006C7AEE">
        <w:rPr>
          <w:rFonts w:cs="Times New Roman"/>
        </w:rPr>
        <w:t>Coordination and consultation</w:t>
      </w:r>
      <w:r w:rsidR="00EB3775">
        <w:rPr>
          <w:rFonts w:cs="Times New Roman"/>
        </w:rPr>
        <w:t xml:space="preserve"> with the Treasury’s fiscal agent, the BPNG </w:t>
      </w:r>
      <w:r w:rsidRPr="006C7AEE">
        <w:rPr>
          <w:rFonts w:cs="Times New Roman"/>
        </w:rPr>
        <w:t>i</w:t>
      </w:r>
      <w:r w:rsidR="00E83405">
        <w:rPr>
          <w:rFonts w:cs="Times New Roman"/>
        </w:rPr>
        <w:t xml:space="preserve">s essential as </w:t>
      </w:r>
      <w:r w:rsidR="00BE332D">
        <w:rPr>
          <w:rFonts w:cs="Times New Roman"/>
        </w:rPr>
        <w:t xml:space="preserve">the </w:t>
      </w:r>
      <w:r w:rsidR="00E83405">
        <w:rPr>
          <w:rFonts w:cs="Times New Roman"/>
        </w:rPr>
        <w:t>BPNG</w:t>
      </w:r>
      <w:r w:rsidR="00BF607A">
        <w:rPr>
          <w:rFonts w:cs="Times New Roman"/>
        </w:rPr>
        <w:t xml:space="preserve"> would be part of the process</w:t>
      </w:r>
      <w:r>
        <w:rPr>
          <w:rFonts w:cs="Times New Roman"/>
        </w:rPr>
        <w:t>;</w:t>
      </w:r>
    </w:p>
    <w:p w14:paraId="17498D00" w14:textId="77777777" w:rsidR="006C7AEE" w:rsidRPr="006C7AEE" w:rsidRDefault="006C7AEE" w:rsidP="006C7AEE">
      <w:pPr>
        <w:pStyle w:val="ListParagraph"/>
        <w:ind w:left="1080"/>
        <w:jc w:val="both"/>
        <w:rPr>
          <w:rFonts w:cs="Times New Roman"/>
        </w:rPr>
      </w:pPr>
    </w:p>
    <w:p w14:paraId="7BB2E893" w14:textId="698DF7E5" w:rsidR="006C7AEE" w:rsidRDefault="006C7AEE" w:rsidP="00EB3775">
      <w:pPr>
        <w:pStyle w:val="ListParagraph"/>
        <w:numPr>
          <w:ilvl w:val="0"/>
          <w:numId w:val="33"/>
        </w:numPr>
        <w:jc w:val="both"/>
        <w:rPr>
          <w:rFonts w:cs="Times New Roman"/>
        </w:rPr>
      </w:pPr>
      <w:r w:rsidRPr="006C7AEE">
        <w:rPr>
          <w:rFonts w:cs="Times New Roman"/>
        </w:rPr>
        <w:t>Procedures for conducting buy-backs and or switches, much like auction and issuance procedures</w:t>
      </w:r>
      <w:r w:rsidR="00BE332D">
        <w:rPr>
          <w:rFonts w:cs="Times New Roman"/>
        </w:rPr>
        <w:t>,</w:t>
      </w:r>
      <w:r w:rsidRPr="006C7AEE">
        <w:rPr>
          <w:rFonts w:cs="Times New Roman"/>
        </w:rPr>
        <w:t xml:space="preserve"> will need to be established</w:t>
      </w:r>
      <w:r w:rsidR="00BE332D">
        <w:rPr>
          <w:rFonts w:cs="Times New Roman"/>
        </w:rPr>
        <w:t>, documented and revi</w:t>
      </w:r>
      <w:r w:rsidR="009856F1">
        <w:rPr>
          <w:rFonts w:cs="Times New Roman"/>
        </w:rPr>
        <w:t>sed on a regular basis.</w:t>
      </w:r>
      <w:r w:rsidR="008925E3">
        <w:rPr>
          <w:rFonts w:cs="Times New Roman"/>
        </w:rPr>
        <w:t xml:space="preserve"> </w:t>
      </w:r>
    </w:p>
    <w:p w14:paraId="31BD2336" w14:textId="77777777" w:rsidR="009856F1" w:rsidRPr="009856F1" w:rsidRDefault="009856F1" w:rsidP="009856F1">
      <w:pPr>
        <w:jc w:val="both"/>
        <w:rPr>
          <w:rFonts w:cs="Times New Roman"/>
        </w:rPr>
      </w:pPr>
    </w:p>
    <w:p w14:paraId="19915CB8" w14:textId="4091E303" w:rsidR="00EB3775" w:rsidRPr="009856F1" w:rsidRDefault="009856F1" w:rsidP="00EB3775">
      <w:pPr>
        <w:pStyle w:val="ListParagraph"/>
        <w:widowControl w:val="0"/>
        <w:numPr>
          <w:ilvl w:val="0"/>
          <w:numId w:val="2"/>
        </w:numPr>
        <w:spacing w:after="240"/>
        <w:ind w:left="0" w:firstLine="0"/>
        <w:contextualSpacing w:val="0"/>
        <w:jc w:val="both"/>
        <w:rPr>
          <w:rFonts w:cs="Times New Roman"/>
        </w:rPr>
      </w:pPr>
      <w:r>
        <w:rPr>
          <w:rFonts w:cs="Times New Roman"/>
        </w:rPr>
        <w:t>In practice, the government</w:t>
      </w:r>
      <w:r w:rsidRPr="0027775A">
        <w:rPr>
          <w:rFonts w:cs="Times New Roman"/>
        </w:rPr>
        <w:t xml:space="preserve"> may choose a mixed strategy by both prefunding close-to-maturity liabilities and by maintaining or creating liquidity buffer of a specific preferred size. This combination of two 'pure' strategies involves buybacks operations while at the same time leaving a specific amount of cash as liquid buffer.</w:t>
      </w:r>
    </w:p>
    <w:p w14:paraId="789EC87F" w14:textId="77777777" w:rsidR="000F1BD5" w:rsidRPr="006C7AEE" w:rsidRDefault="00FA2277" w:rsidP="00F04788">
      <w:pPr>
        <w:pStyle w:val="ListParagraph"/>
        <w:widowControl w:val="0"/>
        <w:numPr>
          <w:ilvl w:val="0"/>
          <w:numId w:val="2"/>
        </w:numPr>
        <w:spacing w:after="240"/>
        <w:ind w:left="0" w:firstLine="0"/>
        <w:contextualSpacing w:val="0"/>
        <w:jc w:val="both"/>
        <w:rPr>
          <w:i/>
        </w:rPr>
      </w:pPr>
      <w:r>
        <w:t>In the short-term</w:t>
      </w:r>
      <w:r w:rsidR="00BE332D">
        <w:t>, the aim should be to</w:t>
      </w:r>
      <w:r>
        <w:t xml:space="preserve"> r</w:t>
      </w:r>
      <w:r w:rsidR="000F1BD5" w:rsidRPr="00FA2277">
        <w:t>eweight the domestic debt</w:t>
      </w:r>
      <w:r w:rsidR="000F1BD5">
        <w:t xml:space="preserve"> composition of </w:t>
      </w:r>
      <w:r w:rsidR="000F1BD5">
        <w:lastRenderedPageBreak/>
        <w:t xml:space="preserve">47% T-bills and 52% </w:t>
      </w:r>
      <w:r w:rsidR="006C7AEE">
        <w:t>G</w:t>
      </w:r>
      <w:r w:rsidR="000F1BD5">
        <w:t>IS in line with the</w:t>
      </w:r>
      <w:r>
        <w:t xml:space="preserve"> 2015 annual borrowing plan’s </w:t>
      </w:r>
      <w:r w:rsidR="000F1BD5">
        <w:t xml:space="preserve">objective of 39% to 61% T-bills to </w:t>
      </w:r>
      <w:r w:rsidR="006C7AEE">
        <w:t>G</w:t>
      </w:r>
      <w:r w:rsidR="000F1BD5">
        <w:t xml:space="preserve">IS. </w:t>
      </w:r>
      <w:r>
        <w:t xml:space="preserve">In the medium-term </w:t>
      </w:r>
      <w:r w:rsidR="00BE332D">
        <w:t xml:space="preserve">the aim should be to </w:t>
      </w:r>
      <w:r>
        <w:t>gradually reweight the composition in line 2</w:t>
      </w:r>
      <w:r w:rsidR="006C7AEE">
        <w:t>013-2017 MTDS’s objective of 15%</w:t>
      </w:r>
      <w:r>
        <w:t xml:space="preserve"> to 30%.</w:t>
      </w:r>
    </w:p>
    <w:p w14:paraId="7E7E9F2D" w14:textId="661A5335" w:rsidR="00EB3775" w:rsidRPr="00EB3775" w:rsidRDefault="00EB3775" w:rsidP="00EB3775">
      <w:pPr>
        <w:pStyle w:val="ListParagraph"/>
        <w:widowControl w:val="0"/>
        <w:numPr>
          <w:ilvl w:val="0"/>
          <w:numId w:val="2"/>
        </w:numPr>
        <w:spacing w:after="240"/>
        <w:ind w:left="0" w:firstLine="0"/>
        <w:contextualSpacing w:val="0"/>
        <w:jc w:val="both"/>
      </w:pPr>
      <w:r w:rsidRPr="00656BCE">
        <w:t>Progress reports</w:t>
      </w:r>
      <w:r w:rsidRPr="00EB3775">
        <w:t xml:space="preserve"> </w:t>
      </w:r>
      <w:r w:rsidR="00E83405">
        <w:t>on the implementation of</w:t>
      </w:r>
      <w:r w:rsidRPr="00EB3775">
        <w:t xml:space="preserve"> the MTDS</w:t>
      </w:r>
      <w:r>
        <w:t xml:space="preserve"> should be produced by the FMD</w:t>
      </w:r>
      <w:r w:rsidRPr="00EB3775">
        <w:t xml:space="preserve">’s front and middle offices so that relevant policy officials and or responsible committees are well informed on the evolution of the debt portfolio as articulated in the strategy. Also, it provides good risk management </w:t>
      </w:r>
      <w:r w:rsidR="007C13BC">
        <w:t xml:space="preserve">internal </w:t>
      </w:r>
      <w:r w:rsidRPr="00EB3775">
        <w:t>oversight</w:t>
      </w:r>
      <w:r w:rsidR="007C13BC">
        <w:t xml:space="preserve"> by the middle office.</w:t>
      </w:r>
    </w:p>
    <w:p w14:paraId="5AAD890B" w14:textId="1AC26B11" w:rsidR="00556447" w:rsidRDefault="00EB3775" w:rsidP="008925E3">
      <w:pPr>
        <w:pStyle w:val="ListParagraph"/>
        <w:widowControl w:val="0"/>
        <w:numPr>
          <w:ilvl w:val="0"/>
          <w:numId w:val="2"/>
        </w:numPr>
        <w:spacing w:after="240"/>
        <w:ind w:left="0" w:firstLine="0"/>
        <w:contextualSpacing w:val="0"/>
        <w:jc w:val="both"/>
      </w:pPr>
      <w:r w:rsidRPr="00EB3775">
        <w:t xml:space="preserve">If there are fundamental shifts in macroeconomic or </w:t>
      </w:r>
      <w:r w:rsidR="00E83405">
        <w:t xml:space="preserve">domestic and external </w:t>
      </w:r>
      <w:r w:rsidRPr="00EB3775">
        <w:t>market conditions, the MTDS should be reassessed. The changing conditions should</w:t>
      </w:r>
      <w:r w:rsidR="00E83405">
        <w:t xml:space="preserve"> prompt FMD</w:t>
      </w:r>
      <w:r w:rsidRPr="00EB3775">
        <w:t xml:space="preserve"> to initiate new analysis and if required a new proposal should be submitted along with a clear explanation of why a revision and update of the strategy is recommended</w:t>
      </w:r>
      <w:r>
        <w:t>.</w:t>
      </w:r>
      <w:r w:rsidR="00BE332D" w:rsidRPr="00BE332D">
        <w:t xml:space="preserve"> </w:t>
      </w:r>
      <w:r w:rsidR="00BE332D">
        <w:t xml:space="preserve">As </w:t>
      </w:r>
      <w:r w:rsidR="007C13BC">
        <w:t>previously</w:t>
      </w:r>
      <w:r w:rsidR="00BE332D">
        <w:t xml:space="preserve"> discussed, t</w:t>
      </w:r>
      <w:r w:rsidR="00BE332D" w:rsidRPr="00BE332D">
        <w:t>imely communication of changes to the MTDS together with detailed explanations for the market on the reasons for the changes</w:t>
      </w:r>
      <w:r w:rsidR="00BE332D">
        <w:t xml:space="preserve"> is essential</w:t>
      </w:r>
      <w:r w:rsidR="00BE332D" w:rsidRPr="00BE332D">
        <w:t>.</w:t>
      </w:r>
    </w:p>
    <w:p w14:paraId="44EA073E" w14:textId="2B6BBE09" w:rsidR="008925E3" w:rsidRDefault="005E537B" w:rsidP="005E537B">
      <w:pPr>
        <w:widowControl w:val="0"/>
        <w:spacing w:after="240"/>
        <w:jc w:val="both"/>
        <w:rPr>
          <w:i/>
          <w:u w:val="single"/>
        </w:rPr>
      </w:pPr>
      <w:r w:rsidRPr="005E537B">
        <w:rPr>
          <w:i/>
          <w:u w:val="single"/>
        </w:rPr>
        <w:t>Recent Initiative</w:t>
      </w:r>
      <w:r>
        <w:rPr>
          <w:i/>
          <w:u w:val="single"/>
        </w:rPr>
        <w:t>s-</w:t>
      </w:r>
    </w:p>
    <w:p w14:paraId="5894F031" w14:textId="48374891" w:rsidR="00656BCE" w:rsidRDefault="00656BCE" w:rsidP="00656BCE">
      <w:pPr>
        <w:pStyle w:val="ListParagraph"/>
        <w:widowControl w:val="0"/>
        <w:numPr>
          <w:ilvl w:val="0"/>
          <w:numId w:val="2"/>
        </w:numPr>
        <w:spacing w:after="240"/>
        <w:ind w:left="0" w:firstLine="0"/>
        <w:contextualSpacing w:val="0"/>
        <w:jc w:val="both"/>
      </w:pPr>
      <w:r>
        <w:t>A cash buffer account in principle has recently been adopted and established, which is in the process of legislative authority to fund and manage the account.</w:t>
      </w:r>
    </w:p>
    <w:p w14:paraId="64CF6097" w14:textId="5CA8F3C0" w:rsidR="00656BCE" w:rsidRPr="00656BCE" w:rsidRDefault="00D9242A" w:rsidP="005E537B">
      <w:pPr>
        <w:pStyle w:val="ListParagraph"/>
        <w:widowControl w:val="0"/>
        <w:numPr>
          <w:ilvl w:val="0"/>
          <w:numId w:val="2"/>
        </w:numPr>
        <w:spacing w:after="240"/>
        <w:ind w:left="0" w:firstLine="0"/>
        <w:contextualSpacing w:val="0"/>
        <w:jc w:val="both"/>
      </w:pPr>
      <w:r>
        <w:t>Buyback and S</w:t>
      </w:r>
      <w:r w:rsidR="00656BCE">
        <w:t>witch operations procedure manuals are currently under development by the Financial Management Division.</w:t>
      </w:r>
    </w:p>
    <w:p w14:paraId="4E6F4309" w14:textId="77777777" w:rsidR="00C65B05" w:rsidRDefault="005A67B4" w:rsidP="00C65B05">
      <w:pPr>
        <w:widowControl w:val="0"/>
        <w:spacing w:after="240"/>
        <w:jc w:val="center"/>
        <w:rPr>
          <w:rFonts w:cs="Times New Roman"/>
          <w:b/>
          <w:noProof/>
        </w:rPr>
      </w:pPr>
      <w:r w:rsidRPr="003F04B9">
        <w:rPr>
          <w:rFonts w:cs="Times New Roman"/>
          <w:b/>
          <w:noProof/>
        </w:rPr>
        <w:t xml:space="preserve">D. </w:t>
      </w:r>
      <w:r w:rsidR="00C65B05">
        <w:rPr>
          <w:rFonts w:cs="Times New Roman"/>
          <w:b/>
          <w:noProof/>
        </w:rPr>
        <w:t xml:space="preserve"> Institutional Arrangements</w:t>
      </w:r>
      <w:r w:rsidR="009D11D1">
        <w:rPr>
          <w:rFonts w:cs="Times New Roman"/>
          <w:b/>
          <w:noProof/>
        </w:rPr>
        <w:t xml:space="preserve"> &amp; Market Communication</w:t>
      </w:r>
    </w:p>
    <w:p w14:paraId="1D6B9A85" w14:textId="77EE1F2D" w:rsidR="00A96AFA" w:rsidRPr="00A96AFA" w:rsidRDefault="00A96AFA" w:rsidP="00F04788">
      <w:pPr>
        <w:pStyle w:val="ListParagraph"/>
        <w:widowControl w:val="0"/>
        <w:numPr>
          <w:ilvl w:val="0"/>
          <w:numId w:val="2"/>
        </w:numPr>
        <w:spacing w:after="240"/>
        <w:ind w:left="0" w:firstLine="0"/>
        <w:contextualSpacing w:val="0"/>
        <w:jc w:val="both"/>
        <w:rPr>
          <w:rFonts w:cs="Times New Roman"/>
        </w:rPr>
      </w:pPr>
      <w:r w:rsidRPr="00A96AFA">
        <w:rPr>
          <w:rFonts w:cs="Times New Roman"/>
        </w:rPr>
        <w:t xml:space="preserve">The role of the Fiscal Agent has been assigned, by the Department of Treasury, to the </w:t>
      </w:r>
      <w:r w:rsidR="00BE332D">
        <w:rPr>
          <w:rFonts w:cs="Times New Roman"/>
        </w:rPr>
        <w:t>BPN</w:t>
      </w:r>
      <w:r w:rsidR="007C13BC">
        <w:rPr>
          <w:rFonts w:cs="Times New Roman"/>
        </w:rPr>
        <w:t>G,</w:t>
      </w:r>
      <w:r w:rsidRPr="00A96AFA">
        <w:rPr>
          <w:rFonts w:cs="Times New Roman"/>
        </w:rPr>
        <w:t xml:space="preserve"> to perform domestic debt issuance constituted through an inter-agency Memorandum of Understanding. The fiscal agent role is further acknowledged in the Central Banking Act</w:t>
      </w:r>
      <w:r w:rsidR="003816C1">
        <w:rPr>
          <w:rFonts w:cs="Times New Roman"/>
        </w:rPr>
        <w:t xml:space="preserve"> 2000</w:t>
      </w:r>
      <w:r w:rsidRPr="00A96AFA">
        <w:rPr>
          <w:rFonts w:cs="Times New Roman"/>
        </w:rPr>
        <w:t>, A</w:t>
      </w:r>
      <w:r w:rsidR="00805039">
        <w:rPr>
          <w:rFonts w:cs="Times New Roman"/>
        </w:rPr>
        <w:t xml:space="preserve">rticle 53. </w:t>
      </w:r>
      <w:r w:rsidR="00BE332D">
        <w:rPr>
          <w:rFonts w:cs="Times New Roman"/>
        </w:rPr>
        <w:t>The BPNG</w:t>
      </w:r>
      <w:r w:rsidR="00805039">
        <w:rPr>
          <w:rFonts w:cs="Times New Roman"/>
        </w:rPr>
        <w:t xml:space="preserve"> acts as </w:t>
      </w:r>
      <w:r w:rsidR="00BE332D">
        <w:rPr>
          <w:rFonts w:cs="Times New Roman"/>
        </w:rPr>
        <w:t xml:space="preserve">sole </w:t>
      </w:r>
      <w:r w:rsidR="00805039">
        <w:rPr>
          <w:rFonts w:cs="Times New Roman"/>
        </w:rPr>
        <w:t>r</w:t>
      </w:r>
      <w:r w:rsidRPr="00A96AFA">
        <w:rPr>
          <w:rFonts w:cs="Times New Roman"/>
        </w:rPr>
        <w:t xml:space="preserve">egistrar, settlement and payment agent for </w:t>
      </w:r>
      <w:r w:rsidR="00BE332D">
        <w:rPr>
          <w:rFonts w:cs="Times New Roman"/>
        </w:rPr>
        <w:t xml:space="preserve">all </w:t>
      </w:r>
      <w:r w:rsidRPr="00A96AFA">
        <w:rPr>
          <w:rFonts w:cs="Times New Roman"/>
        </w:rPr>
        <w:t>government securities.</w:t>
      </w:r>
    </w:p>
    <w:p w14:paraId="4413A985" w14:textId="77777777" w:rsidR="00A96AFA" w:rsidRPr="00A96AFA" w:rsidRDefault="003D235A" w:rsidP="00F04788">
      <w:pPr>
        <w:pStyle w:val="ListParagraph"/>
        <w:widowControl w:val="0"/>
        <w:numPr>
          <w:ilvl w:val="0"/>
          <w:numId w:val="5"/>
        </w:numPr>
        <w:spacing w:after="240"/>
        <w:ind w:left="0" w:firstLine="0"/>
        <w:contextualSpacing w:val="0"/>
        <w:jc w:val="both"/>
        <w:rPr>
          <w:rFonts w:cs="Times New Roman"/>
        </w:rPr>
      </w:pPr>
      <w:r>
        <w:rPr>
          <w:rFonts w:cs="Times New Roman"/>
        </w:rPr>
        <w:t xml:space="preserve">The Public Debt Committee (PDC) coordinates fiscal and monetary authorities, on an operational level, for the issuance of government securities. </w:t>
      </w:r>
      <w:r w:rsidR="00A96AFA" w:rsidRPr="00A96AFA">
        <w:rPr>
          <w:rFonts w:cs="Times New Roman"/>
        </w:rPr>
        <w:t xml:space="preserve">The PDC is </w:t>
      </w:r>
      <w:r w:rsidR="00B161F6">
        <w:rPr>
          <w:rFonts w:cs="Times New Roman"/>
        </w:rPr>
        <w:t>made up of representatives from:</w:t>
      </w:r>
    </w:p>
    <w:p w14:paraId="415B3EEA" w14:textId="77777777" w:rsidR="00A96AFA" w:rsidRPr="005C4750" w:rsidRDefault="00A96AFA" w:rsidP="00A96AFA">
      <w:pPr>
        <w:pStyle w:val="BulletsADB"/>
        <w:rPr>
          <w:rFonts w:ascii="Times New Roman" w:hAnsi="Times New Roman" w:cs="Times New Roman"/>
        </w:rPr>
      </w:pPr>
      <w:r w:rsidRPr="005C4750">
        <w:rPr>
          <w:rFonts w:ascii="Times New Roman" w:hAnsi="Times New Roman" w:cs="Times New Roman"/>
        </w:rPr>
        <w:t>Department of Treasury</w:t>
      </w:r>
    </w:p>
    <w:p w14:paraId="64896A8D" w14:textId="77777777" w:rsidR="00A96AFA" w:rsidRPr="00FC36D4" w:rsidRDefault="00A96AFA" w:rsidP="00FC36D4">
      <w:pPr>
        <w:pStyle w:val="Bulletstab"/>
        <w:rPr>
          <w:rFonts w:ascii="Times New Roman" w:hAnsi="Times New Roman" w:cs="Times New Roman"/>
        </w:rPr>
      </w:pPr>
      <w:r w:rsidRPr="005C4750">
        <w:rPr>
          <w:rFonts w:ascii="Times New Roman" w:hAnsi="Times New Roman" w:cs="Times New Roman"/>
        </w:rPr>
        <w:t>Financial Management Division</w:t>
      </w:r>
    </w:p>
    <w:p w14:paraId="06C9915F" w14:textId="77777777" w:rsidR="00A96AFA" w:rsidRPr="005C4750" w:rsidRDefault="00FC36D4" w:rsidP="00A96AFA">
      <w:pPr>
        <w:pStyle w:val="Bulletstab"/>
        <w:rPr>
          <w:rFonts w:ascii="Times New Roman" w:hAnsi="Times New Roman" w:cs="Times New Roman"/>
        </w:rPr>
      </w:pPr>
      <w:r>
        <w:rPr>
          <w:rFonts w:ascii="Times New Roman" w:hAnsi="Times New Roman" w:cs="Times New Roman"/>
        </w:rPr>
        <w:t>Macroeconomic</w:t>
      </w:r>
      <w:r w:rsidR="00A96AFA" w:rsidRPr="005C4750">
        <w:rPr>
          <w:rFonts w:ascii="Times New Roman" w:hAnsi="Times New Roman" w:cs="Times New Roman"/>
        </w:rPr>
        <w:t xml:space="preserve"> Policy</w:t>
      </w:r>
      <w:r w:rsidR="00283DBB">
        <w:rPr>
          <w:rFonts w:ascii="Times New Roman" w:hAnsi="Times New Roman" w:cs="Times New Roman"/>
        </w:rPr>
        <w:t xml:space="preserve"> Division’s Fiscal and Cash Forecasting</w:t>
      </w:r>
    </w:p>
    <w:p w14:paraId="7DDA9D6F" w14:textId="77777777" w:rsidR="00A96AFA" w:rsidRDefault="00A96AFA" w:rsidP="00A96AFA">
      <w:pPr>
        <w:pStyle w:val="Bulletstab"/>
        <w:rPr>
          <w:rFonts w:ascii="Times New Roman" w:hAnsi="Times New Roman" w:cs="Times New Roman"/>
        </w:rPr>
      </w:pPr>
      <w:r w:rsidRPr="005C4750">
        <w:rPr>
          <w:rFonts w:ascii="Times New Roman" w:hAnsi="Times New Roman" w:cs="Times New Roman"/>
        </w:rPr>
        <w:t xml:space="preserve">Budget </w:t>
      </w:r>
      <w:r w:rsidR="00B161F6">
        <w:rPr>
          <w:rFonts w:ascii="Times New Roman" w:hAnsi="Times New Roman" w:cs="Times New Roman"/>
        </w:rPr>
        <w:t>Operations Division</w:t>
      </w:r>
    </w:p>
    <w:p w14:paraId="46D6A6CE" w14:textId="77777777" w:rsidR="00FC36D4" w:rsidRPr="005C4750" w:rsidRDefault="00FC36D4" w:rsidP="00A96AFA">
      <w:pPr>
        <w:pStyle w:val="Bulletstab"/>
        <w:rPr>
          <w:rFonts w:ascii="Times New Roman" w:hAnsi="Times New Roman" w:cs="Times New Roman"/>
        </w:rPr>
      </w:pPr>
      <w:r>
        <w:rPr>
          <w:rFonts w:ascii="Times New Roman" w:hAnsi="Times New Roman" w:cs="Times New Roman"/>
        </w:rPr>
        <w:t>Budget Coordination &amp; Analysis Division</w:t>
      </w:r>
    </w:p>
    <w:p w14:paraId="33CA13DD" w14:textId="77777777" w:rsidR="00A96AFA" w:rsidRPr="005C4750" w:rsidRDefault="00A96AFA" w:rsidP="00A96AFA">
      <w:pPr>
        <w:pStyle w:val="BulletsADB"/>
        <w:rPr>
          <w:rFonts w:ascii="Times New Roman" w:hAnsi="Times New Roman" w:cs="Times New Roman"/>
        </w:rPr>
      </w:pPr>
      <w:r w:rsidRPr="005C4750">
        <w:rPr>
          <w:rFonts w:ascii="Times New Roman" w:hAnsi="Times New Roman" w:cs="Times New Roman"/>
        </w:rPr>
        <w:t>Department of Finance</w:t>
      </w:r>
    </w:p>
    <w:p w14:paraId="6A68D5C2" w14:textId="77777777" w:rsidR="00A96AFA" w:rsidRDefault="00B161F6" w:rsidP="00A96AFA">
      <w:pPr>
        <w:pStyle w:val="Bulletstab"/>
        <w:rPr>
          <w:rFonts w:ascii="Times New Roman" w:hAnsi="Times New Roman" w:cs="Times New Roman"/>
        </w:rPr>
      </w:pPr>
      <w:r>
        <w:rPr>
          <w:rFonts w:ascii="Times New Roman" w:hAnsi="Times New Roman" w:cs="Times New Roman"/>
        </w:rPr>
        <w:t>Cash Management Division</w:t>
      </w:r>
    </w:p>
    <w:p w14:paraId="52DD5076" w14:textId="77777777" w:rsidR="001E56F3" w:rsidRDefault="00B161F6" w:rsidP="00A96AFA">
      <w:pPr>
        <w:pStyle w:val="Bulletstab"/>
        <w:rPr>
          <w:rFonts w:ascii="Times New Roman" w:hAnsi="Times New Roman" w:cs="Times New Roman"/>
        </w:rPr>
      </w:pPr>
      <w:r>
        <w:rPr>
          <w:rFonts w:ascii="Times New Roman" w:hAnsi="Times New Roman" w:cs="Times New Roman"/>
        </w:rPr>
        <w:t>Trust Division</w:t>
      </w:r>
    </w:p>
    <w:p w14:paraId="0F64A8AB" w14:textId="77777777" w:rsidR="001E56F3" w:rsidRPr="005C4750" w:rsidRDefault="001E56F3" w:rsidP="00F04788">
      <w:pPr>
        <w:pStyle w:val="Bulletstab"/>
        <w:numPr>
          <w:ilvl w:val="0"/>
          <w:numId w:val="6"/>
        </w:numPr>
        <w:rPr>
          <w:rFonts w:ascii="Times New Roman" w:hAnsi="Times New Roman" w:cs="Times New Roman"/>
        </w:rPr>
      </w:pPr>
      <w:r>
        <w:rPr>
          <w:rFonts w:ascii="Times New Roman" w:hAnsi="Times New Roman" w:cs="Times New Roman"/>
        </w:rPr>
        <w:lastRenderedPageBreak/>
        <w:t>Department of National Planning &amp; Monitoring</w:t>
      </w:r>
    </w:p>
    <w:p w14:paraId="23A76DE2" w14:textId="77777777" w:rsidR="00A96AFA" w:rsidRPr="005C4750" w:rsidRDefault="001E56F3" w:rsidP="001E56F3">
      <w:pPr>
        <w:pStyle w:val="BulletsADB"/>
        <w:rPr>
          <w:rFonts w:ascii="Times New Roman" w:hAnsi="Times New Roman" w:cs="Times New Roman"/>
        </w:rPr>
      </w:pPr>
      <w:r>
        <w:rPr>
          <w:rFonts w:ascii="Times New Roman" w:hAnsi="Times New Roman" w:cs="Times New Roman"/>
        </w:rPr>
        <w:t>PNG Internal Revenue Commission</w:t>
      </w:r>
    </w:p>
    <w:p w14:paraId="692F2EB2" w14:textId="77777777" w:rsidR="00A96AFA" w:rsidRPr="005C4750" w:rsidRDefault="00A96AFA" w:rsidP="00A96AFA">
      <w:pPr>
        <w:pStyle w:val="BulletsADB"/>
        <w:rPr>
          <w:rFonts w:ascii="Times New Roman" w:hAnsi="Times New Roman" w:cs="Times New Roman"/>
        </w:rPr>
      </w:pPr>
      <w:r w:rsidRPr="005C4750">
        <w:rPr>
          <w:rFonts w:ascii="Times New Roman" w:hAnsi="Times New Roman" w:cs="Times New Roman"/>
        </w:rPr>
        <w:t>Bank of PNG</w:t>
      </w:r>
    </w:p>
    <w:p w14:paraId="521F5A53" w14:textId="77777777" w:rsidR="00117E2D" w:rsidRPr="004B3A9E" w:rsidRDefault="00283DBB" w:rsidP="004B3A9E">
      <w:pPr>
        <w:pStyle w:val="Bulletstab"/>
        <w:rPr>
          <w:rFonts w:ascii="Times New Roman" w:hAnsi="Times New Roman" w:cs="Times New Roman"/>
        </w:rPr>
      </w:pPr>
      <w:r>
        <w:rPr>
          <w:rFonts w:ascii="Times New Roman" w:hAnsi="Times New Roman" w:cs="Times New Roman"/>
        </w:rPr>
        <w:t>Financial Markets Divisio</w:t>
      </w:r>
      <w:r w:rsidR="004B3A9E">
        <w:rPr>
          <w:rFonts w:ascii="Times New Roman" w:hAnsi="Times New Roman" w:cs="Times New Roman"/>
        </w:rPr>
        <w:t>n</w:t>
      </w:r>
      <w:r w:rsidR="00B161F6">
        <w:rPr>
          <w:rFonts w:ascii="Times New Roman" w:hAnsi="Times New Roman" w:cs="Times New Roman"/>
        </w:rPr>
        <w:t>.</w:t>
      </w:r>
    </w:p>
    <w:p w14:paraId="17D8FF11" w14:textId="147F91DB" w:rsidR="00A96AFA" w:rsidRPr="0033376F" w:rsidRDefault="00A96AFA" w:rsidP="00F04788">
      <w:pPr>
        <w:pStyle w:val="ListParagraph"/>
        <w:widowControl w:val="0"/>
        <w:numPr>
          <w:ilvl w:val="0"/>
          <w:numId w:val="5"/>
        </w:numPr>
        <w:spacing w:after="240"/>
        <w:ind w:left="0" w:firstLine="0"/>
        <w:contextualSpacing w:val="0"/>
        <w:jc w:val="both"/>
        <w:rPr>
          <w:rFonts w:cs="Times New Roman"/>
          <w:i/>
        </w:rPr>
      </w:pPr>
      <w:r w:rsidRPr="00A96AFA">
        <w:rPr>
          <w:rFonts w:cs="Times New Roman"/>
        </w:rPr>
        <w:t>The P</w:t>
      </w:r>
      <w:r w:rsidR="00BE332D">
        <w:rPr>
          <w:rFonts w:cs="Times New Roman"/>
        </w:rPr>
        <w:t>DC</w:t>
      </w:r>
      <w:r w:rsidRPr="00A96AFA">
        <w:rPr>
          <w:rFonts w:cs="Times New Roman"/>
        </w:rPr>
        <w:t xml:space="preserve"> conducts weekly meetings on Tuesdays to collectively decide on the issuance of government securities in accordance wit</w:t>
      </w:r>
      <w:r w:rsidR="00AA1184">
        <w:rPr>
          <w:rFonts w:cs="Times New Roman"/>
        </w:rPr>
        <w:t xml:space="preserve">h the Department of Treasury’s </w:t>
      </w:r>
      <w:r w:rsidR="00AA1184" w:rsidRPr="0047684C">
        <w:rPr>
          <w:rFonts w:cs="Times New Roman"/>
        </w:rPr>
        <w:t>cash requirements and financing needs</w:t>
      </w:r>
      <w:r w:rsidRPr="0047684C">
        <w:rPr>
          <w:rFonts w:cs="Times New Roman"/>
        </w:rPr>
        <w:t>. The</w:t>
      </w:r>
      <w:r w:rsidRPr="00A96AFA">
        <w:rPr>
          <w:rFonts w:cs="Times New Roman"/>
        </w:rPr>
        <w:t xml:space="preserve"> outcomes of the PDC weekly meeting are to conclude and finalize the government’s funding requi</w:t>
      </w:r>
      <w:r w:rsidR="0033376F">
        <w:rPr>
          <w:rFonts w:cs="Times New Roman"/>
        </w:rPr>
        <w:t xml:space="preserve">rements and volumes of issuance for the upcoming auctions. </w:t>
      </w:r>
      <w:r w:rsidR="0033376F" w:rsidRPr="0033376F">
        <w:rPr>
          <w:rFonts w:cs="Times New Roman"/>
          <w:i/>
        </w:rPr>
        <w:t>More details to follow in the Primary Market section of this paper</w:t>
      </w:r>
      <w:r w:rsidR="00822888">
        <w:rPr>
          <w:rFonts w:cs="Times New Roman"/>
          <w:i/>
        </w:rPr>
        <w:t>.</w:t>
      </w:r>
    </w:p>
    <w:p w14:paraId="7ABDEBA4" w14:textId="77777777" w:rsidR="00A96AFA" w:rsidRDefault="00A96AFA" w:rsidP="00F04788">
      <w:pPr>
        <w:pStyle w:val="ListParagraph"/>
        <w:widowControl w:val="0"/>
        <w:numPr>
          <w:ilvl w:val="0"/>
          <w:numId w:val="5"/>
        </w:numPr>
        <w:spacing w:after="240"/>
        <w:ind w:left="0" w:firstLine="0"/>
        <w:contextualSpacing w:val="0"/>
        <w:jc w:val="both"/>
        <w:rPr>
          <w:rFonts w:cs="Times New Roman"/>
        </w:rPr>
      </w:pPr>
      <w:r w:rsidRPr="00D9242A">
        <w:rPr>
          <w:rFonts w:cs="Times New Roman"/>
        </w:rPr>
        <w:t>The Public Debt Policy Committee</w:t>
      </w:r>
      <w:r w:rsidRPr="00A96AFA">
        <w:rPr>
          <w:rFonts w:cs="Times New Roman"/>
        </w:rPr>
        <w:t xml:space="preserve"> </w:t>
      </w:r>
      <w:r w:rsidR="00C42497">
        <w:rPr>
          <w:rFonts w:cs="Times New Roman"/>
        </w:rPr>
        <w:t xml:space="preserve">(PDPC) </w:t>
      </w:r>
      <w:r w:rsidRPr="00A96AFA">
        <w:rPr>
          <w:rFonts w:cs="Times New Roman"/>
        </w:rPr>
        <w:t xml:space="preserve">meets quarterly to </w:t>
      </w:r>
      <w:r w:rsidR="00C42497">
        <w:rPr>
          <w:rFonts w:cs="Times New Roman"/>
        </w:rPr>
        <w:t>coordinate on</w:t>
      </w:r>
      <w:r w:rsidR="00C42497" w:rsidRPr="00911A71">
        <w:rPr>
          <w:rFonts w:cs="Times New Roman"/>
        </w:rPr>
        <w:t xml:space="preserve"> </w:t>
      </w:r>
      <w:r w:rsidR="00C42497">
        <w:rPr>
          <w:rFonts w:cs="Times New Roman"/>
        </w:rPr>
        <w:t xml:space="preserve">macro fiscal and monetary issues. </w:t>
      </w:r>
      <w:r w:rsidRPr="00A96AFA">
        <w:rPr>
          <w:rFonts w:cs="Times New Roman"/>
        </w:rPr>
        <w:t>The committee is represented by</w:t>
      </w:r>
      <w:r w:rsidR="001E56F3">
        <w:rPr>
          <w:rFonts w:cs="Times New Roman"/>
        </w:rPr>
        <w:t xml:space="preserve"> senior officials from</w:t>
      </w:r>
      <w:r w:rsidRPr="00A96AFA">
        <w:rPr>
          <w:rFonts w:cs="Times New Roman"/>
        </w:rPr>
        <w:t>;</w:t>
      </w:r>
    </w:p>
    <w:p w14:paraId="6305E2D2" w14:textId="77777777" w:rsidR="001E56F3" w:rsidRPr="005C4750" w:rsidRDefault="001E56F3" w:rsidP="00F04788">
      <w:pPr>
        <w:pStyle w:val="Bulletstab"/>
        <w:numPr>
          <w:ilvl w:val="0"/>
          <w:numId w:val="6"/>
        </w:numPr>
        <w:rPr>
          <w:rFonts w:ascii="Times New Roman" w:hAnsi="Times New Roman" w:cs="Times New Roman"/>
        </w:rPr>
      </w:pPr>
      <w:r w:rsidRPr="005C4750">
        <w:rPr>
          <w:rFonts w:ascii="Times New Roman" w:hAnsi="Times New Roman" w:cs="Times New Roman"/>
        </w:rPr>
        <w:t>Department of Treasury</w:t>
      </w:r>
    </w:p>
    <w:p w14:paraId="73DB7006" w14:textId="77777777" w:rsidR="001E56F3" w:rsidRPr="005C4750" w:rsidRDefault="00B161F6" w:rsidP="00F04788">
      <w:pPr>
        <w:pStyle w:val="BulletsADB"/>
        <w:numPr>
          <w:ilvl w:val="0"/>
          <w:numId w:val="6"/>
        </w:numPr>
        <w:rPr>
          <w:rFonts w:ascii="Times New Roman" w:hAnsi="Times New Roman" w:cs="Times New Roman"/>
        </w:rPr>
      </w:pPr>
      <w:r>
        <w:rPr>
          <w:rFonts w:ascii="Times New Roman" w:hAnsi="Times New Roman" w:cs="Times New Roman"/>
        </w:rPr>
        <w:t>Department of Finance</w:t>
      </w:r>
    </w:p>
    <w:p w14:paraId="446578EF" w14:textId="77777777" w:rsidR="001E56F3" w:rsidRPr="005C4750" w:rsidRDefault="001E56F3" w:rsidP="00F04788">
      <w:pPr>
        <w:pStyle w:val="Bulletstab"/>
        <w:numPr>
          <w:ilvl w:val="0"/>
          <w:numId w:val="6"/>
        </w:numPr>
        <w:rPr>
          <w:rFonts w:ascii="Times New Roman" w:hAnsi="Times New Roman" w:cs="Times New Roman"/>
        </w:rPr>
      </w:pPr>
      <w:r>
        <w:rPr>
          <w:rFonts w:ascii="Times New Roman" w:hAnsi="Times New Roman" w:cs="Times New Roman"/>
        </w:rPr>
        <w:t>Department of National Planning &amp; Monitoring</w:t>
      </w:r>
    </w:p>
    <w:p w14:paraId="03DD5241" w14:textId="77777777" w:rsidR="003D235A" w:rsidRDefault="001E56F3" w:rsidP="00261AA9">
      <w:pPr>
        <w:pStyle w:val="BulletsADB"/>
        <w:numPr>
          <w:ilvl w:val="0"/>
          <w:numId w:val="6"/>
        </w:numPr>
        <w:rPr>
          <w:rFonts w:ascii="Times New Roman" w:hAnsi="Times New Roman" w:cs="Times New Roman"/>
        </w:rPr>
      </w:pPr>
      <w:r w:rsidRPr="005C4750">
        <w:rPr>
          <w:rFonts w:ascii="Times New Roman" w:hAnsi="Times New Roman" w:cs="Times New Roman"/>
        </w:rPr>
        <w:t>Bank of PNG</w:t>
      </w:r>
      <w:r w:rsidR="00517184">
        <w:rPr>
          <w:rFonts w:ascii="Times New Roman" w:hAnsi="Times New Roman" w:cs="Times New Roman"/>
        </w:rPr>
        <w:t>.</w:t>
      </w:r>
    </w:p>
    <w:p w14:paraId="5CA92A87" w14:textId="7BACECDE" w:rsidR="000B5DFA" w:rsidRPr="000B5DFA" w:rsidRDefault="000B5DFA" w:rsidP="000B5DFA">
      <w:pPr>
        <w:pStyle w:val="ListParagraph"/>
        <w:widowControl w:val="0"/>
        <w:numPr>
          <w:ilvl w:val="0"/>
          <w:numId w:val="5"/>
        </w:numPr>
        <w:spacing w:after="240"/>
        <w:ind w:left="0" w:firstLine="0"/>
        <w:contextualSpacing w:val="0"/>
        <w:jc w:val="both"/>
        <w:rPr>
          <w:rFonts w:cs="Times New Roman"/>
          <w:b/>
        </w:rPr>
      </w:pPr>
      <w:r w:rsidRPr="00D9242A">
        <w:rPr>
          <w:rFonts w:cs="Times New Roman"/>
        </w:rPr>
        <w:t>Previously the Financial Management Division</w:t>
      </w:r>
      <w:r w:rsidR="007C13BC">
        <w:rPr>
          <w:rFonts w:cs="Times New Roman"/>
        </w:rPr>
        <w:t xml:space="preserve">, </w:t>
      </w:r>
      <w:r>
        <w:rPr>
          <w:rFonts w:cs="Times New Roman"/>
        </w:rPr>
        <w:t>on a semi-annual and open manner</w:t>
      </w:r>
      <w:r w:rsidR="00822888">
        <w:rPr>
          <w:rFonts w:cs="Times New Roman"/>
        </w:rPr>
        <w:t>,</w:t>
      </w:r>
      <w:r>
        <w:rPr>
          <w:rFonts w:cs="Times New Roman"/>
        </w:rPr>
        <w:t xml:space="preserve"> carried out market dialogue with market participants. This exchange between FMD and the market has been inactive for a year or more and market participants expressed the need to re-activate dialogue. </w:t>
      </w:r>
    </w:p>
    <w:p w14:paraId="60D16F9B" w14:textId="77777777" w:rsidR="00584A99" w:rsidRPr="008F7368" w:rsidRDefault="00584A99" w:rsidP="00584A99">
      <w:pPr>
        <w:widowControl w:val="0"/>
        <w:spacing w:after="240"/>
        <w:jc w:val="both"/>
        <w:rPr>
          <w:rFonts w:cs="Times New Roman"/>
          <w:i/>
          <w:u w:val="single"/>
        </w:rPr>
      </w:pPr>
      <w:r w:rsidRPr="008F7368">
        <w:rPr>
          <w:rFonts w:cs="Times New Roman"/>
          <w:i/>
          <w:u w:val="single"/>
        </w:rPr>
        <w:t>Recommendations</w:t>
      </w:r>
      <w:r w:rsidR="00BF607A" w:rsidRPr="008F7368">
        <w:rPr>
          <w:rFonts w:cs="Times New Roman"/>
          <w:i/>
          <w:u w:val="single"/>
        </w:rPr>
        <w:t>-</w:t>
      </w:r>
    </w:p>
    <w:p w14:paraId="5DB38318" w14:textId="656D8245" w:rsidR="000B5DFA" w:rsidRPr="00E145D5" w:rsidRDefault="00822888" w:rsidP="000B5DFA">
      <w:pPr>
        <w:pStyle w:val="ListParagraph"/>
        <w:widowControl w:val="0"/>
        <w:numPr>
          <w:ilvl w:val="0"/>
          <w:numId w:val="5"/>
        </w:numPr>
        <w:spacing w:after="240"/>
        <w:ind w:left="0" w:firstLine="0"/>
        <w:contextualSpacing w:val="0"/>
        <w:jc w:val="both"/>
        <w:rPr>
          <w:rFonts w:cs="Times New Roman"/>
          <w:b/>
        </w:rPr>
      </w:pPr>
      <w:r>
        <w:rPr>
          <w:rFonts w:cs="Times New Roman"/>
        </w:rPr>
        <w:t xml:space="preserve">It is strongly recommended that these </w:t>
      </w:r>
      <w:r w:rsidRPr="00822888">
        <w:rPr>
          <w:rFonts w:cs="Times New Roman"/>
        </w:rPr>
        <w:t>semi-annual</w:t>
      </w:r>
      <w:r>
        <w:rPr>
          <w:rFonts w:cs="Times New Roman"/>
        </w:rPr>
        <w:t xml:space="preserve"> meetings recommence and that action be taken to ensure that they continue to occur</w:t>
      </w:r>
      <w:r w:rsidR="00B03C11">
        <w:rPr>
          <w:rFonts w:cs="Times New Roman"/>
        </w:rPr>
        <w:t xml:space="preserve"> to discuss the government’s funding plans</w:t>
      </w:r>
      <w:r w:rsidR="00805039">
        <w:rPr>
          <w:rFonts w:cs="Times New Roman"/>
        </w:rPr>
        <w:t xml:space="preserve">, debt issuance </w:t>
      </w:r>
      <w:r w:rsidR="008F7368">
        <w:rPr>
          <w:rFonts w:cs="Times New Roman"/>
        </w:rPr>
        <w:t>strategy</w:t>
      </w:r>
      <w:r w:rsidR="00805039">
        <w:rPr>
          <w:rFonts w:cs="Times New Roman"/>
        </w:rPr>
        <w:t>,</w:t>
      </w:r>
      <w:r w:rsidR="00B03C11">
        <w:rPr>
          <w:rFonts w:cs="Times New Roman"/>
        </w:rPr>
        <w:t xml:space="preserve"> and domestic government securities development</w:t>
      </w:r>
      <w:r w:rsidR="00805039">
        <w:rPr>
          <w:rFonts w:cs="Times New Roman"/>
        </w:rPr>
        <w:t>.</w:t>
      </w:r>
    </w:p>
    <w:p w14:paraId="4AB91E3D" w14:textId="6C6583A5" w:rsidR="00E145D5" w:rsidRPr="00E145D5" w:rsidRDefault="00822888" w:rsidP="000B5DFA">
      <w:pPr>
        <w:pStyle w:val="ListParagraph"/>
        <w:widowControl w:val="0"/>
        <w:numPr>
          <w:ilvl w:val="0"/>
          <w:numId w:val="5"/>
        </w:numPr>
        <w:spacing w:after="240"/>
        <w:ind w:left="0" w:firstLine="0"/>
        <w:contextualSpacing w:val="0"/>
        <w:jc w:val="both"/>
        <w:rPr>
          <w:rFonts w:cs="Times New Roman"/>
          <w:b/>
          <w:i/>
        </w:rPr>
      </w:pPr>
      <w:r>
        <w:rPr>
          <w:rFonts w:cs="Times New Roman"/>
        </w:rPr>
        <w:t xml:space="preserve">That </w:t>
      </w:r>
      <w:r w:rsidR="00E145D5">
        <w:rPr>
          <w:rFonts w:cs="Times New Roman"/>
        </w:rPr>
        <w:t xml:space="preserve">Treasury and FMD </w:t>
      </w:r>
      <w:r w:rsidR="0007197B">
        <w:rPr>
          <w:rFonts w:cs="Times New Roman"/>
        </w:rPr>
        <w:t xml:space="preserve">should </w:t>
      </w:r>
      <w:r w:rsidR="00883AA8">
        <w:rPr>
          <w:rFonts w:cs="Times New Roman"/>
        </w:rPr>
        <w:t xml:space="preserve">initiate contact </w:t>
      </w:r>
      <w:r w:rsidR="00883AA8" w:rsidRPr="00883AA8">
        <w:rPr>
          <w:rFonts w:cs="Times New Roman"/>
        </w:rPr>
        <w:t>with the international investment community</w:t>
      </w:r>
      <w:r w:rsidR="0007197B">
        <w:rPr>
          <w:rFonts w:cs="Times New Roman"/>
        </w:rPr>
        <w:t xml:space="preserve"> to alert and inform potential</w:t>
      </w:r>
      <w:r w:rsidR="00883AA8">
        <w:rPr>
          <w:rFonts w:cs="Times New Roman"/>
        </w:rPr>
        <w:t xml:space="preserve"> in</w:t>
      </w:r>
      <w:r w:rsidR="0007197B">
        <w:rPr>
          <w:rFonts w:cs="Times New Roman"/>
        </w:rPr>
        <w:t>ternational investors</w:t>
      </w:r>
      <w:r w:rsidR="00883AA8">
        <w:rPr>
          <w:rFonts w:cs="Times New Roman"/>
        </w:rPr>
        <w:t xml:space="preserve"> </w:t>
      </w:r>
      <w:r w:rsidR="0007197B">
        <w:rPr>
          <w:rFonts w:cs="Times New Roman"/>
        </w:rPr>
        <w:t xml:space="preserve">as </w:t>
      </w:r>
      <w:r w:rsidR="00883AA8">
        <w:rPr>
          <w:rFonts w:cs="Times New Roman"/>
        </w:rPr>
        <w:t xml:space="preserve">to the opportunities to invest </w:t>
      </w:r>
      <w:r w:rsidR="0007197B">
        <w:rPr>
          <w:rFonts w:cs="Times New Roman"/>
        </w:rPr>
        <w:t>in PNG government securities</w:t>
      </w:r>
      <w:r w:rsidR="00883AA8">
        <w:rPr>
          <w:rFonts w:cs="Times New Roman"/>
        </w:rPr>
        <w:t xml:space="preserve">. This contact </w:t>
      </w:r>
      <w:r w:rsidR="00E145D5">
        <w:rPr>
          <w:rFonts w:cs="Times New Roman"/>
        </w:rPr>
        <w:t xml:space="preserve">should </w:t>
      </w:r>
      <w:r w:rsidR="00883AA8">
        <w:rPr>
          <w:rFonts w:cs="Times New Roman"/>
        </w:rPr>
        <w:t xml:space="preserve">include </w:t>
      </w:r>
      <w:r w:rsidR="00E145D5">
        <w:rPr>
          <w:rFonts w:cs="Times New Roman"/>
        </w:rPr>
        <w:t>engage</w:t>
      </w:r>
      <w:r w:rsidR="00883AA8">
        <w:rPr>
          <w:rFonts w:cs="Times New Roman"/>
        </w:rPr>
        <w:t>ment</w:t>
      </w:r>
      <w:r w:rsidR="00E145D5">
        <w:rPr>
          <w:rFonts w:cs="Times New Roman"/>
        </w:rPr>
        <w:t xml:space="preserve"> with the in</w:t>
      </w:r>
      <w:r w:rsidR="0007197B">
        <w:rPr>
          <w:rFonts w:cs="Times New Roman"/>
        </w:rPr>
        <w:t>ternational investors</w:t>
      </w:r>
      <w:r w:rsidR="00E145D5">
        <w:rPr>
          <w:rFonts w:cs="Times New Roman"/>
        </w:rPr>
        <w:t xml:space="preserve"> with </w:t>
      </w:r>
      <w:r w:rsidR="00E145D5" w:rsidRPr="00E145D5">
        <w:rPr>
          <w:rFonts w:cs="Times New Roman"/>
          <w:i/>
        </w:rPr>
        <w:t>road shows</w:t>
      </w:r>
      <w:r w:rsidR="00E145D5">
        <w:rPr>
          <w:rFonts w:cs="Times New Roman"/>
        </w:rPr>
        <w:t xml:space="preserve"> or </w:t>
      </w:r>
      <w:r w:rsidR="00E145D5" w:rsidRPr="00E145D5">
        <w:rPr>
          <w:rFonts w:cs="Times New Roman"/>
          <w:i/>
        </w:rPr>
        <w:t>non-deal road shows</w:t>
      </w:r>
      <w:r w:rsidR="00E145D5">
        <w:rPr>
          <w:rFonts w:cs="Times New Roman"/>
          <w:i/>
        </w:rPr>
        <w:t xml:space="preserve"> </w:t>
      </w:r>
      <w:r w:rsidR="00E145D5">
        <w:rPr>
          <w:rFonts w:cs="Times New Roman"/>
        </w:rPr>
        <w:t xml:space="preserve">in the event of a potential external sovereign bond issue in the international capital markets. Road shows are effective communication channels with international investors to get the PNG economic and financial markets story heard. The banks </w:t>
      </w:r>
      <w:r w:rsidR="00BA51FF">
        <w:rPr>
          <w:rFonts w:cs="Times New Roman"/>
        </w:rPr>
        <w:t>and</w:t>
      </w:r>
      <w:r w:rsidR="00E145D5">
        <w:rPr>
          <w:rFonts w:cs="Times New Roman"/>
        </w:rPr>
        <w:t xml:space="preserve"> </w:t>
      </w:r>
      <w:r w:rsidR="0007197B">
        <w:rPr>
          <w:rFonts w:cs="Times New Roman"/>
        </w:rPr>
        <w:t xml:space="preserve">or </w:t>
      </w:r>
      <w:r w:rsidR="00E145D5">
        <w:rPr>
          <w:rFonts w:cs="Times New Roman"/>
        </w:rPr>
        <w:t>book arrangers</w:t>
      </w:r>
      <w:r w:rsidR="0007197B">
        <w:rPr>
          <w:rStyle w:val="FootnoteReference"/>
          <w:rFonts w:cs="Times New Roman"/>
        </w:rPr>
        <w:footnoteReference w:id="13"/>
      </w:r>
      <w:r w:rsidR="00E145D5">
        <w:rPr>
          <w:rFonts w:cs="Times New Roman"/>
        </w:rPr>
        <w:t xml:space="preserve"> selected for an external issue will be instrumental in advising Treasury </w:t>
      </w:r>
      <w:r w:rsidR="00BA51FF">
        <w:rPr>
          <w:rFonts w:cs="Times New Roman"/>
        </w:rPr>
        <w:t>and</w:t>
      </w:r>
      <w:r w:rsidR="00E145D5">
        <w:rPr>
          <w:rFonts w:cs="Times New Roman"/>
        </w:rPr>
        <w:t xml:space="preserve"> FMD as to what information the investors will be expecting to hear. The BPNG should be part of the team for the road shows.</w:t>
      </w:r>
    </w:p>
    <w:p w14:paraId="3AC9E0EE" w14:textId="17B79A9C" w:rsidR="00D53DD7" w:rsidRDefault="008317C8" w:rsidP="00F04788">
      <w:pPr>
        <w:pStyle w:val="ListParagraph"/>
        <w:widowControl w:val="0"/>
        <w:numPr>
          <w:ilvl w:val="0"/>
          <w:numId w:val="5"/>
        </w:numPr>
        <w:spacing w:after="240"/>
        <w:ind w:left="0" w:firstLine="0"/>
        <w:contextualSpacing w:val="0"/>
        <w:jc w:val="both"/>
      </w:pPr>
      <w:r w:rsidRPr="007E15E0">
        <w:lastRenderedPageBreak/>
        <w:t>Treasury</w:t>
      </w:r>
      <w:r w:rsidR="00B03C11">
        <w:t xml:space="preserve"> and </w:t>
      </w:r>
      <w:r w:rsidR="00BA51FF">
        <w:t xml:space="preserve">the </w:t>
      </w:r>
      <w:r w:rsidR="00B03C11">
        <w:t xml:space="preserve">BPNG </w:t>
      </w:r>
      <w:r w:rsidR="00BA51FF">
        <w:t>should</w:t>
      </w:r>
      <w:r w:rsidR="00B03C11">
        <w:t xml:space="preserve"> establish a</w:t>
      </w:r>
      <w:r w:rsidRPr="00D80090">
        <w:t xml:space="preserve"> </w:t>
      </w:r>
      <w:r w:rsidR="00276289">
        <w:t xml:space="preserve">policy level </w:t>
      </w:r>
      <w:r w:rsidRPr="0060282D">
        <w:rPr>
          <w:i/>
        </w:rPr>
        <w:t xml:space="preserve">Domestic Bond Market Development Committee (DBMC).  </w:t>
      </w:r>
      <w:r w:rsidRPr="00D80090">
        <w:t>The committee would comprise a working group of agencies and departments involved in the overall objective of domestic bond market development.</w:t>
      </w:r>
      <w:r w:rsidR="00276289">
        <w:t xml:space="preserve"> The mandate of the DBMC</w:t>
      </w:r>
      <w:r w:rsidR="00D53DD7" w:rsidRPr="00D53DD7">
        <w:t xml:space="preserve"> would initially focus upon outlining, prioritizing</w:t>
      </w:r>
      <w:r w:rsidR="0033376F">
        <w:t>,</w:t>
      </w:r>
      <w:r w:rsidR="00D53DD7" w:rsidRPr="00D53DD7">
        <w:t xml:space="preserve"> and advocatin</w:t>
      </w:r>
      <w:r w:rsidR="00E850F5">
        <w:t>g market development activities with Terms of References.</w:t>
      </w:r>
    </w:p>
    <w:p w14:paraId="6DC6CAF9" w14:textId="77777777" w:rsidR="008317C8" w:rsidRPr="00D80090" w:rsidRDefault="00276289" w:rsidP="00F04788">
      <w:pPr>
        <w:pStyle w:val="ListParagraph"/>
        <w:widowControl w:val="0"/>
        <w:numPr>
          <w:ilvl w:val="0"/>
          <w:numId w:val="5"/>
        </w:numPr>
        <w:spacing w:after="240"/>
        <w:ind w:left="0" w:firstLine="0"/>
        <w:contextualSpacing w:val="0"/>
        <w:jc w:val="both"/>
      </w:pPr>
      <w:r>
        <w:t>The DBMC would comprise officials from Treasury, BPNG</w:t>
      </w:r>
      <w:r w:rsidRPr="00D80090">
        <w:t xml:space="preserve">, Securities Commission, the Internal Revenue Commission, </w:t>
      </w:r>
      <w:r>
        <w:t>the Stock Market, and possibly private sector p</w:t>
      </w:r>
      <w:r w:rsidRPr="00D80090">
        <w:t>arti</w:t>
      </w:r>
      <w:r>
        <w:t>cipants.</w:t>
      </w:r>
      <w:r w:rsidR="00C36D23">
        <w:t xml:space="preserve"> The DBMC </w:t>
      </w:r>
      <w:r w:rsidR="008317C8" w:rsidRPr="00D80090">
        <w:t>suggested sub-wo</w:t>
      </w:r>
      <w:r w:rsidR="008317C8">
        <w:t>rk</w:t>
      </w:r>
      <w:r w:rsidR="00C36D23">
        <w:t>ing/responsible agencies:</w:t>
      </w:r>
    </w:p>
    <w:p w14:paraId="7E659B5A" w14:textId="77777777" w:rsidR="008317C8" w:rsidRPr="008317C8" w:rsidRDefault="008317C8" w:rsidP="008317C8">
      <w:pPr>
        <w:pStyle w:val="BulletsAD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 xml:space="preserve">Primary Market </w:t>
      </w:r>
    </w:p>
    <w:p w14:paraId="1B05D74A" w14:textId="77777777" w:rsidR="008317C8" w:rsidRDefault="008317C8" w:rsidP="008317C8">
      <w:pPr>
        <w:pStyle w:val="Bulletsta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Department of the Treasury, Financial Management Division</w:t>
      </w:r>
    </w:p>
    <w:p w14:paraId="4A20F4A5" w14:textId="77777777" w:rsidR="0033376F" w:rsidRPr="008317C8" w:rsidRDefault="0033376F" w:rsidP="0033376F">
      <w:pPr>
        <w:pStyle w:val="BulletsADB"/>
        <w:numPr>
          <w:ilvl w:val="0"/>
          <w:numId w:val="6"/>
        </w:numPr>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Public Debt Management</w:t>
      </w:r>
    </w:p>
    <w:p w14:paraId="6D5631B5" w14:textId="77777777" w:rsidR="0033376F" w:rsidRPr="0033376F" w:rsidRDefault="0033376F" w:rsidP="0033376F">
      <w:pPr>
        <w:pStyle w:val="Bulletstab"/>
        <w:rPr>
          <w:rFonts w:ascii="Times New Roman" w:eastAsiaTheme="minorEastAsia" w:hAnsi="Times New Roman" w:cs="Helvetica"/>
          <w:bCs w:val="0"/>
          <w:lang w:eastAsia="ja-JP"/>
        </w:rPr>
      </w:pPr>
      <w:r w:rsidRPr="0033376F">
        <w:rPr>
          <w:rFonts w:ascii="Times New Roman" w:eastAsiaTheme="minorEastAsia" w:hAnsi="Times New Roman" w:cs="Helvetica"/>
          <w:bCs w:val="0"/>
          <w:lang w:eastAsia="ja-JP"/>
        </w:rPr>
        <w:t>Department of the Treasury, Financial Management Division</w:t>
      </w:r>
    </w:p>
    <w:p w14:paraId="1EBDEFCE" w14:textId="77777777" w:rsidR="008317C8" w:rsidRPr="008317C8" w:rsidRDefault="008317C8" w:rsidP="008317C8">
      <w:pPr>
        <w:pStyle w:val="BulletsAD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Secondary Market</w:t>
      </w:r>
    </w:p>
    <w:p w14:paraId="77A57FD5" w14:textId="77777777" w:rsidR="008317C8" w:rsidRDefault="008317C8" w:rsidP="008317C8">
      <w:pPr>
        <w:pStyle w:val="Bulletsta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Bank of Papua New Guinea</w:t>
      </w:r>
    </w:p>
    <w:p w14:paraId="232611F4" w14:textId="77777777" w:rsidR="0033376F" w:rsidRPr="008317C8" w:rsidRDefault="0033376F" w:rsidP="0033376F">
      <w:pPr>
        <w:pStyle w:val="BulletsAD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Repurchase Market</w:t>
      </w:r>
    </w:p>
    <w:p w14:paraId="068B95FC" w14:textId="77777777" w:rsidR="0033376F" w:rsidRPr="008317C8" w:rsidRDefault="0033376F" w:rsidP="0033376F">
      <w:pPr>
        <w:pStyle w:val="Bulletsta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Bank of Papua New Guinea</w:t>
      </w:r>
    </w:p>
    <w:p w14:paraId="34059DF1" w14:textId="77777777" w:rsidR="0033376F" w:rsidRPr="0033376F" w:rsidRDefault="0033376F" w:rsidP="0033376F">
      <w:pPr>
        <w:pStyle w:val="Bulletsta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Department of the Treasury, Financial Management Division</w:t>
      </w:r>
    </w:p>
    <w:p w14:paraId="568905A2" w14:textId="77777777" w:rsidR="008317C8" w:rsidRPr="008317C8" w:rsidRDefault="0033376F" w:rsidP="008317C8">
      <w:pPr>
        <w:pStyle w:val="BulletsADB"/>
        <w:rPr>
          <w:rFonts w:ascii="Times New Roman" w:eastAsiaTheme="minorEastAsia" w:hAnsi="Times New Roman" w:cs="Helvetica"/>
          <w:bCs w:val="0"/>
          <w:lang w:eastAsia="ja-JP"/>
        </w:rPr>
      </w:pPr>
      <w:r>
        <w:rPr>
          <w:rFonts w:ascii="Times New Roman" w:eastAsiaTheme="minorEastAsia" w:hAnsi="Times New Roman" w:cs="Helvetica"/>
          <w:bCs w:val="0"/>
          <w:lang w:eastAsia="ja-JP"/>
        </w:rPr>
        <w:t>Clearing, Settlement, and Central Securities Depository</w:t>
      </w:r>
    </w:p>
    <w:p w14:paraId="61AA04F2" w14:textId="77777777" w:rsidR="008317C8" w:rsidRPr="008317C8" w:rsidRDefault="008317C8" w:rsidP="008317C8">
      <w:pPr>
        <w:pStyle w:val="Bulletsta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Bank of Papua New Guinea</w:t>
      </w:r>
    </w:p>
    <w:p w14:paraId="528CA3BC" w14:textId="77777777" w:rsidR="008317C8" w:rsidRPr="008317C8" w:rsidRDefault="008317C8" w:rsidP="008317C8">
      <w:pPr>
        <w:pStyle w:val="BulletsAD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Taxation</w:t>
      </w:r>
    </w:p>
    <w:p w14:paraId="78724BBE" w14:textId="77777777" w:rsidR="008317C8" w:rsidRPr="008317C8" w:rsidRDefault="008317C8" w:rsidP="008317C8">
      <w:pPr>
        <w:pStyle w:val="Bulletsta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Revenue Commission</w:t>
      </w:r>
    </w:p>
    <w:p w14:paraId="53D0C02B" w14:textId="77777777" w:rsidR="008317C8" w:rsidRPr="008317C8" w:rsidRDefault="008317C8" w:rsidP="00276289">
      <w:pPr>
        <w:pStyle w:val="BulletsAD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Code of Conduct and Market Convention</w:t>
      </w:r>
    </w:p>
    <w:p w14:paraId="0A690D1D" w14:textId="77777777" w:rsidR="008317C8" w:rsidRPr="008317C8" w:rsidRDefault="008317C8" w:rsidP="008317C8">
      <w:pPr>
        <w:pStyle w:val="Bulletsta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Bank of Papua New Guinea</w:t>
      </w:r>
    </w:p>
    <w:p w14:paraId="7B28BCB1" w14:textId="77777777" w:rsidR="008317C8" w:rsidRPr="008317C8" w:rsidRDefault="008317C8" w:rsidP="00C36D23">
      <w:pPr>
        <w:pStyle w:val="Bulletsta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Securities Commission</w:t>
      </w:r>
    </w:p>
    <w:p w14:paraId="64DBC41D" w14:textId="77777777" w:rsidR="008317C8" w:rsidRPr="008317C8" w:rsidRDefault="008317C8" w:rsidP="008317C8">
      <w:pPr>
        <w:pStyle w:val="BulletsAD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Market Education &amp; Capacity Building</w:t>
      </w:r>
    </w:p>
    <w:p w14:paraId="5DFF8970" w14:textId="77777777" w:rsidR="0033376F" w:rsidRDefault="0033376F" w:rsidP="008317C8">
      <w:pPr>
        <w:pStyle w:val="Bulletstab"/>
        <w:rPr>
          <w:rFonts w:ascii="Times New Roman" w:eastAsiaTheme="minorEastAsia" w:hAnsi="Times New Roman" w:cs="Helvetica"/>
          <w:bCs w:val="0"/>
          <w:lang w:eastAsia="ja-JP"/>
        </w:rPr>
      </w:pPr>
      <w:r>
        <w:rPr>
          <w:rFonts w:ascii="Times New Roman" w:eastAsiaTheme="minorEastAsia" w:hAnsi="Times New Roman" w:cs="Helvetica"/>
          <w:bCs w:val="0"/>
          <w:lang w:eastAsia="ja-JP"/>
        </w:rPr>
        <w:t>Department of the Treasury</w:t>
      </w:r>
    </w:p>
    <w:p w14:paraId="2F488606" w14:textId="77777777" w:rsidR="008317C8" w:rsidRPr="008317C8" w:rsidRDefault="008317C8" w:rsidP="008317C8">
      <w:pPr>
        <w:pStyle w:val="Bulletsta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Financial Management Division</w:t>
      </w:r>
    </w:p>
    <w:p w14:paraId="0C4A6315" w14:textId="77777777" w:rsidR="008317C8" w:rsidRPr="008317C8" w:rsidRDefault="008317C8" w:rsidP="008317C8">
      <w:pPr>
        <w:pStyle w:val="Bulletsta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Bank of Papua New Guinea</w:t>
      </w:r>
    </w:p>
    <w:p w14:paraId="1CC7DA5F" w14:textId="77777777" w:rsidR="008317C8" w:rsidRPr="008317C8" w:rsidRDefault="008317C8" w:rsidP="008317C8">
      <w:pPr>
        <w:pStyle w:val="Bulletsta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The Port Moresby Stock Exchange</w:t>
      </w:r>
    </w:p>
    <w:p w14:paraId="3A113BC3" w14:textId="77777777" w:rsidR="008317C8" w:rsidRPr="008317C8" w:rsidRDefault="008317C8" w:rsidP="008317C8">
      <w:pPr>
        <w:pStyle w:val="Bulletstab"/>
        <w:rPr>
          <w:rFonts w:ascii="Times New Roman" w:eastAsiaTheme="minorEastAsia" w:hAnsi="Times New Roman" w:cs="Helvetica"/>
          <w:bCs w:val="0"/>
          <w:lang w:eastAsia="ja-JP"/>
        </w:rPr>
      </w:pPr>
      <w:r w:rsidRPr="008317C8">
        <w:rPr>
          <w:rFonts w:ascii="Times New Roman" w:eastAsiaTheme="minorEastAsia" w:hAnsi="Times New Roman" w:cs="Helvetica"/>
          <w:bCs w:val="0"/>
          <w:lang w:eastAsia="ja-JP"/>
        </w:rPr>
        <w:t>Securities Commission</w:t>
      </w:r>
    </w:p>
    <w:p w14:paraId="0EC14FE9" w14:textId="2BFEBECC" w:rsidR="008317C8" w:rsidRDefault="00BA51FF" w:rsidP="00F04788">
      <w:pPr>
        <w:pStyle w:val="ListParagraph"/>
        <w:widowControl w:val="0"/>
        <w:numPr>
          <w:ilvl w:val="0"/>
          <w:numId w:val="5"/>
        </w:numPr>
        <w:spacing w:after="240"/>
        <w:ind w:left="0" w:firstLine="0"/>
        <w:contextualSpacing w:val="0"/>
        <w:jc w:val="both"/>
      </w:pPr>
      <w:r w:rsidRPr="00D9242A">
        <w:t>Action should be taken to e</w:t>
      </w:r>
      <w:r w:rsidR="008317C8" w:rsidRPr="00D9242A">
        <w:t>ncourage</w:t>
      </w:r>
      <w:r w:rsidR="00C36D23">
        <w:t xml:space="preserve"> </w:t>
      </w:r>
      <w:r w:rsidR="00805039">
        <w:t xml:space="preserve">coordination and </w:t>
      </w:r>
      <w:r w:rsidR="00C36D23">
        <w:t xml:space="preserve">organization between banks, super funds, and </w:t>
      </w:r>
      <w:r w:rsidR="008317C8" w:rsidRPr="00D80090">
        <w:t>br</w:t>
      </w:r>
      <w:r w:rsidR="0060282D">
        <w:t xml:space="preserve">okers. This can be </w:t>
      </w:r>
      <w:r>
        <w:t xml:space="preserve">achieved </w:t>
      </w:r>
      <w:r w:rsidR="0060282D">
        <w:t>by way of a domestic bond market d</w:t>
      </w:r>
      <w:r w:rsidR="008317C8" w:rsidRPr="00D80090">
        <w:t xml:space="preserve">evelopment </w:t>
      </w:r>
      <w:r w:rsidR="0031223D">
        <w:rPr>
          <w:i/>
          <w:iCs/>
        </w:rPr>
        <w:t>Dealer Advisory Panel</w:t>
      </w:r>
      <w:r w:rsidR="0060282D">
        <w:rPr>
          <w:i/>
          <w:iCs/>
        </w:rPr>
        <w:t xml:space="preserve"> (DAP)</w:t>
      </w:r>
      <w:r w:rsidR="00C36D23">
        <w:rPr>
          <w:i/>
          <w:iCs/>
        </w:rPr>
        <w:t xml:space="preserve">.  </w:t>
      </w:r>
      <w:r w:rsidR="008317C8" w:rsidRPr="00D80090">
        <w:t>Private sector coordination and collaboration can be a good source of information f</w:t>
      </w:r>
      <w:r w:rsidR="0033376F">
        <w:t xml:space="preserve">or the Treasury and </w:t>
      </w:r>
      <w:r>
        <w:t xml:space="preserve">the </w:t>
      </w:r>
      <w:r w:rsidR="0033376F">
        <w:t>BPNG</w:t>
      </w:r>
      <w:r w:rsidR="008317C8" w:rsidRPr="00D80090">
        <w:t xml:space="preserve"> </w:t>
      </w:r>
      <w:r w:rsidR="0033376F">
        <w:t xml:space="preserve">to </w:t>
      </w:r>
      <w:r w:rsidR="0033376F">
        <w:lastRenderedPageBreak/>
        <w:t>include: (</w:t>
      </w:r>
      <w:proofErr w:type="spellStart"/>
      <w:r w:rsidR="0033376F">
        <w:t>i</w:t>
      </w:r>
      <w:proofErr w:type="spellEnd"/>
      <w:r w:rsidR="0033376F">
        <w:t xml:space="preserve">) overall </w:t>
      </w:r>
      <w:r w:rsidR="00805039">
        <w:t xml:space="preserve">domestic bond </w:t>
      </w:r>
      <w:r w:rsidR="008317C8" w:rsidRPr="00D80090">
        <w:t>mark</w:t>
      </w:r>
      <w:r w:rsidR="0033376F">
        <w:t>et conditions; (ii) issuer and investor demands; (iii)</w:t>
      </w:r>
      <w:r w:rsidR="008317C8" w:rsidRPr="00D80090">
        <w:t xml:space="preserve"> structural suggestions for th</w:t>
      </w:r>
      <w:r w:rsidR="0033376F">
        <w:t>e primary and secondary markets; (iv)</w:t>
      </w:r>
      <w:r w:rsidR="008317C8" w:rsidRPr="00D80090">
        <w:t xml:space="preserve"> recomm</w:t>
      </w:r>
      <w:r w:rsidR="0033376F">
        <w:t xml:space="preserve">endations to assist the FMD in its formulation of the </w:t>
      </w:r>
      <w:r w:rsidR="008317C8" w:rsidRPr="00D80090">
        <w:t>borrowing plan to</w:t>
      </w:r>
      <w:r w:rsidR="0033376F">
        <w:t xml:space="preserve"> achieve cost effective funding;</w:t>
      </w:r>
      <w:r w:rsidR="008317C8" w:rsidRPr="00D80090">
        <w:t xml:space="preserve"> and</w:t>
      </w:r>
      <w:r w:rsidR="0033376F">
        <w:t xml:space="preserve"> (v)</w:t>
      </w:r>
      <w:r w:rsidR="008317C8" w:rsidRPr="00D80090">
        <w:t xml:space="preserve"> general recommendations on financial products that would further develop th</w:t>
      </w:r>
      <w:r w:rsidR="0031223D">
        <w:t>e domestic debt market. The dealer advisory panel</w:t>
      </w:r>
      <w:r w:rsidR="008317C8" w:rsidRPr="00D80090">
        <w:t xml:space="preserve"> could meet on a quarterly basis and report minutes of the meetings with recommendations to the Treasury</w:t>
      </w:r>
      <w:r w:rsidR="00805039">
        <w:t xml:space="preserve">, FMD, and </w:t>
      </w:r>
      <w:r>
        <w:t xml:space="preserve">the </w:t>
      </w:r>
      <w:r w:rsidR="00805039">
        <w:t>BPNG</w:t>
      </w:r>
      <w:r w:rsidR="008317C8" w:rsidRPr="00D80090">
        <w:t>. A model of this type of outside committee is the United States Treasury Borrowing Committee</w:t>
      </w:r>
      <w:r w:rsidR="008317C8" w:rsidRPr="00D80090">
        <w:rPr>
          <w:rStyle w:val="FootnoteReference"/>
          <w:rFonts w:ascii="Arial" w:hAnsi="Arial" w:cs="Arial"/>
        </w:rPr>
        <w:footnoteReference w:id="14"/>
      </w:r>
      <w:r w:rsidR="008317C8" w:rsidRPr="00D80090">
        <w:t>.</w:t>
      </w:r>
    </w:p>
    <w:p w14:paraId="2923534B" w14:textId="66EA65BC" w:rsidR="00D47282" w:rsidRPr="00C36D23" w:rsidRDefault="00805039" w:rsidP="00F04788">
      <w:pPr>
        <w:pStyle w:val="ListParagraph"/>
        <w:widowControl w:val="0"/>
        <w:numPr>
          <w:ilvl w:val="0"/>
          <w:numId w:val="5"/>
        </w:numPr>
        <w:spacing w:after="240"/>
        <w:ind w:left="0" w:firstLine="0"/>
        <w:contextualSpacing w:val="0"/>
        <w:jc w:val="both"/>
        <w:rPr>
          <w:rFonts w:cs="Times New Roman"/>
        </w:rPr>
      </w:pPr>
      <w:r w:rsidRPr="00477A96">
        <w:t>Th</w:t>
      </w:r>
      <w:r w:rsidR="00BA51FF" w:rsidRPr="00477A96">
        <w:t xml:space="preserve">at </w:t>
      </w:r>
      <w:r w:rsidRPr="00477A96">
        <w:t>BPNG establish</w:t>
      </w:r>
      <w:r>
        <w:t xml:space="preserve"> a centralized</w:t>
      </w:r>
      <w:r w:rsidR="00C36D23">
        <w:t xml:space="preserve"> in-house </w:t>
      </w:r>
      <w:r w:rsidR="00045519">
        <w:t>agency</w:t>
      </w:r>
      <w:r w:rsidR="0033376F">
        <w:t>/division</w:t>
      </w:r>
      <w:r w:rsidR="00045519">
        <w:t xml:space="preserve"> </w:t>
      </w:r>
      <w:r w:rsidR="00C36D23">
        <w:t>function</w:t>
      </w:r>
      <w:r w:rsidR="008317C8" w:rsidRPr="00D80090">
        <w:t xml:space="preserve"> re</w:t>
      </w:r>
      <w:r w:rsidR="00C36D23">
        <w:t>spons</w:t>
      </w:r>
      <w:r>
        <w:t xml:space="preserve">ible for </w:t>
      </w:r>
      <w:r w:rsidR="0033376F">
        <w:t xml:space="preserve">all </w:t>
      </w:r>
      <w:r w:rsidR="008317C8" w:rsidRPr="00D80090">
        <w:t>debt market information</w:t>
      </w:r>
      <w:r>
        <w:t xml:space="preserve"> and data, market conventions,</w:t>
      </w:r>
      <w:r w:rsidR="00C36D23">
        <w:t xml:space="preserve"> and </w:t>
      </w:r>
      <w:r>
        <w:t xml:space="preserve">the </w:t>
      </w:r>
      <w:r w:rsidR="00C36D23">
        <w:t>dissemination</w:t>
      </w:r>
      <w:r>
        <w:t xml:space="preserve"> and easy access to the information</w:t>
      </w:r>
      <w:r w:rsidR="00C36D23">
        <w:t>.</w:t>
      </w:r>
      <w:r w:rsidR="0033376F">
        <w:t xml:space="preserve"> This is similar to bond market association’s roles and responsibilities.</w:t>
      </w:r>
      <w:r w:rsidR="0033376F">
        <w:rPr>
          <w:rFonts w:cs="Times New Roman"/>
        </w:rPr>
        <w:t xml:space="preserve"> The agency/division </w:t>
      </w:r>
      <w:r w:rsidR="0033376F">
        <w:t xml:space="preserve">could consider </w:t>
      </w:r>
      <w:r w:rsidR="00D47282" w:rsidRPr="00D47282">
        <w:t>the following functions:</w:t>
      </w:r>
    </w:p>
    <w:p w14:paraId="4B3F402F" w14:textId="77777777" w:rsidR="00D47282" w:rsidRPr="00D47282" w:rsidRDefault="00D47282" w:rsidP="00F04788">
      <w:pPr>
        <w:pStyle w:val="ListParagraph"/>
        <w:numPr>
          <w:ilvl w:val="0"/>
          <w:numId w:val="9"/>
        </w:numPr>
        <w:jc w:val="both"/>
      </w:pPr>
      <w:r w:rsidRPr="00D47282">
        <w:t xml:space="preserve">Center for all </w:t>
      </w:r>
      <w:r w:rsidR="00805039">
        <w:t xml:space="preserve">bond </w:t>
      </w:r>
      <w:r w:rsidRPr="00D47282">
        <w:t xml:space="preserve">market information e.g. primary and secondary market activities </w:t>
      </w:r>
      <w:r w:rsidR="00CA701B">
        <w:t xml:space="preserve">and data for </w:t>
      </w:r>
      <w:r w:rsidRPr="00D47282">
        <w:t>both gove</w:t>
      </w:r>
      <w:r w:rsidR="0033376F">
        <w:t>rnment</w:t>
      </w:r>
      <w:r w:rsidR="00805039">
        <w:t>, central bank,</w:t>
      </w:r>
      <w:r w:rsidR="0033376F">
        <w:t xml:space="preserve"> and corporate securities;</w:t>
      </w:r>
    </w:p>
    <w:p w14:paraId="548E200B" w14:textId="77777777" w:rsidR="00D47282" w:rsidRDefault="00CA701B" w:rsidP="00F04788">
      <w:pPr>
        <w:pStyle w:val="ListParagraph"/>
        <w:numPr>
          <w:ilvl w:val="0"/>
          <w:numId w:val="9"/>
        </w:numPr>
        <w:jc w:val="both"/>
      </w:pPr>
      <w:r>
        <w:t>D</w:t>
      </w:r>
      <w:r w:rsidR="00D47282" w:rsidRPr="00D47282">
        <w:t>eve</w:t>
      </w:r>
      <w:r w:rsidR="00805039">
        <w:t>lop, maintain, and publish</w:t>
      </w:r>
      <w:r w:rsidR="00D47282" w:rsidRPr="00D47282">
        <w:t xml:space="preserve"> a daily or weekly government yield curve</w:t>
      </w:r>
      <w:r>
        <w:rPr>
          <w:rStyle w:val="FootnoteReference"/>
        </w:rPr>
        <w:footnoteReference w:id="15"/>
      </w:r>
      <w:r w:rsidR="00D47282" w:rsidRPr="00D47282">
        <w:t>;</w:t>
      </w:r>
    </w:p>
    <w:p w14:paraId="6B701F15" w14:textId="77777777" w:rsidR="0033376F" w:rsidRPr="00D47282" w:rsidRDefault="0033376F" w:rsidP="0033376F">
      <w:pPr>
        <w:pStyle w:val="ListParagraph"/>
        <w:numPr>
          <w:ilvl w:val="0"/>
          <w:numId w:val="9"/>
        </w:numPr>
        <w:jc w:val="both"/>
      </w:pPr>
      <w:r w:rsidRPr="00D47282">
        <w:t>Develop secondary market trade reporting requirements</w:t>
      </w:r>
      <w:r w:rsidR="00805039">
        <w:t xml:space="preserve"> and timely transaction dissemination to the market place</w:t>
      </w:r>
      <w:r w:rsidRPr="00D47282">
        <w:t>;</w:t>
      </w:r>
    </w:p>
    <w:p w14:paraId="476567B5" w14:textId="77777777" w:rsidR="00D47282" w:rsidRPr="00D47282" w:rsidRDefault="00D47282" w:rsidP="00F04788">
      <w:pPr>
        <w:pStyle w:val="ListParagraph"/>
        <w:numPr>
          <w:ilvl w:val="0"/>
          <w:numId w:val="9"/>
        </w:numPr>
        <w:jc w:val="both"/>
      </w:pPr>
      <w:r w:rsidRPr="00D47282">
        <w:t>Establish a market code of conduct;</w:t>
      </w:r>
    </w:p>
    <w:p w14:paraId="184866FE" w14:textId="77777777" w:rsidR="00D47282" w:rsidRPr="00D47282" w:rsidRDefault="00D47282" w:rsidP="00F04788">
      <w:pPr>
        <w:pStyle w:val="ListParagraph"/>
        <w:numPr>
          <w:ilvl w:val="0"/>
          <w:numId w:val="9"/>
        </w:numPr>
        <w:jc w:val="both"/>
      </w:pPr>
      <w:r w:rsidRPr="00D47282">
        <w:t>Establish, document, and disseminate bond market standards and conventions</w:t>
      </w:r>
      <w:r w:rsidR="00CA701B">
        <w:t xml:space="preserve"> in coordination with Treasury</w:t>
      </w:r>
      <w:r w:rsidRPr="00D47282">
        <w:t>;</w:t>
      </w:r>
    </w:p>
    <w:p w14:paraId="2CA3E8C1" w14:textId="77777777" w:rsidR="00D47282" w:rsidRPr="00D47282" w:rsidRDefault="00D47282" w:rsidP="00F04788">
      <w:pPr>
        <w:pStyle w:val="ListParagraph"/>
        <w:numPr>
          <w:ilvl w:val="0"/>
          <w:numId w:val="9"/>
        </w:numPr>
        <w:jc w:val="both"/>
      </w:pPr>
      <w:r w:rsidRPr="00D47282">
        <w:t xml:space="preserve">Establish a </w:t>
      </w:r>
      <w:r w:rsidR="00045519">
        <w:t>web-</w:t>
      </w:r>
      <w:r w:rsidRPr="00D47282">
        <w:t>link exclusively for non-re</w:t>
      </w:r>
      <w:r w:rsidR="00045519">
        <w:t>sident investors</w:t>
      </w:r>
      <w:r w:rsidRPr="00D47282">
        <w:t>;</w:t>
      </w:r>
    </w:p>
    <w:p w14:paraId="065912BC" w14:textId="59BCDA0B" w:rsidR="00DE49D8" w:rsidRDefault="00CA701B" w:rsidP="0007197B">
      <w:pPr>
        <w:pStyle w:val="ListParagraph"/>
        <w:numPr>
          <w:ilvl w:val="0"/>
          <w:numId w:val="9"/>
        </w:numPr>
        <w:jc w:val="both"/>
      </w:pPr>
      <w:r>
        <w:t>Provide education and training for bond market development.</w:t>
      </w:r>
    </w:p>
    <w:p w14:paraId="700FB332" w14:textId="77777777" w:rsidR="00654F24" w:rsidRDefault="00654F24" w:rsidP="00654F24">
      <w:pPr>
        <w:pStyle w:val="ListParagraph"/>
        <w:ind w:left="1080"/>
        <w:jc w:val="both"/>
      </w:pPr>
    </w:p>
    <w:p w14:paraId="17EB5B14" w14:textId="0CF0A1DD" w:rsidR="00477A96" w:rsidRDefault="00654F24" w:rsidP="00477A96">
      <w:pPr>
        <w:pStyle w:val="ListParagraph"/>
        <w:widowControl w:val="0"/>
        <w:numPr>
          <w:ilvl w:val="0"/>
          <w:numId w:val="5"/>
        </w:numPr>
        <w:spacing w:after="240"/>
        <w:ind w:left="0" w:firstLine="0"/>
        <w:contextualSpacing w:val="0"/>
        <w:jc w:val="both"/>
      </w:pPr>
      <w:r>
        <w:t xml:space="preserve">The Bank of PNG’s Financial Markets Division is currently producing various market data information and the likely staring point for developing a centralized in-house function could be the FMD’s middle-office, which currently comprises staffs with good analytical capability and capacity. </w:t>
      </w:r>
    </w:p>
    <w:p w14:paraId="3D05C3AB" w14:textId="45A530F0" w:rsidR="0007197B" w:rsidRDefault="00E71075" w:rsidP="00477A96">
      <w:pPr>
        <w:pStyle w:val="ListParagraph"/>
        <w:widowControl w:val="0"/>
        <w:numPr>
          <w:ilvl w:val="0"/>
          <w:numId w:val="5"/>
        </w:numPr>
        <w:spacing w:after="240"/>
        <w:ind w:left="0" w:firstLine="0"/>
        <w:contextualSpacing w:val="0"/>
        <w:jc w:val="both"/>
      </w:pPr>
      <w:r>
        <w:t>Equally, the Financial Management</w:t>
      </w:r>
      <w:r w:rsidR="00477A96">
        <w:t xml:space="preserve"> Division should develop its internal database for central government debt</w:t>
      </w:r>
      <w:r w:rsidR="00654F24">
        <w:t xml:space="preserve"> data</w:t>
      </w:r>
      <w:r w:rsidR="00477A96">
        <w:t xml:space="preserve">, public debt composition, </w:t>
      </w:r>
      <w:r w:rsidR="00654F24">
        <w:t xml:space="preserve">and </w:t>
      </w:r>
      <w:r w:rsidR="00477A96">
        <w:t>primary m</w:t>
      </w:r>
      <w:r w:rsidR="00654F24">
        <w:t>arket data.</w:t>
      </w:r>
      <w:r w:rsidR="00477A96">
        <w:t xml:space="preserve"> The data should be disseminated and made easily assessable for the public, investment community, and importantly institutions needing the public debt data for analysis, such as; (</w:t>
      </w:r>
      <w:proofErr w:type="spellStart"/>
      <w:r w:rsidR="00477A96">
        <w:t>i</w:t>
      </w:r>
      <w:proofErr w:type="spellEnd"/>
      <w:r w:rsidR="00477A96">
        <w:t xml:space="preserve">) multilateral development institutions e.g. World Bank &amp; Asian Development Bank; (ii) bilateral donors; (iii) International Monetary Fund; (iv) etc. Furthermore, this would, in time as the database is fully developed, alleviate </w:t>
      </w:r>
      <w:r w:rsidR="00A919CE">
        <w:t>time intensive pressures on FMD and Treasury staffs to provide requested information on the government’s debt por</w:t>
      </w:r>
      <w:r w:rsidR="00654F24">
        <w:t>tfolio on a case by case basis</w:t>
      </w:r>
      <w:r w:rsidR="00A919CE">
        <w:t xml:space="preserve">. </w:t>
      </w:r>
    </w:p>
    <w:p w14:paraId="6D8BE158" w14:textId="77777777" w:rsidR="00654F24" w:rsidRDefault="00654F24" w:rsidP="00654F24">
      <w:pPr>
        <w:pStyle w:val="ListParagraph"/>
        <w:widowControl w:val="0"/>
        <w:spacing w:after="240"/>
        <w:ind w:left="0"/>
        <w:contextualSpacing w:val="0"/>
        <w:jc w:val="both"/>
      </w:pPr>
    </w:p>
    <w:p w14:paraId="489D0709" w14:textId="77777777" w:rsidR="00E71075" w:rsidRPr="00E71075" w:rsidRDefault="00E71075" w:rsidP="00E71075">
      <w:pPr>
        <w:widowControl w:val="0"/>
        <w:spacing w:after="240"/>
        <w:jc w:val="both"/>
        <w:rPr>
          <w:i/>
          <w:u w:val="single"/>
        </w:rPr>
      </w:pPr>
      <w:r w:rsidRPr="00E71075">
        <w:rPr>
          <w:i/>
          <w:u w:val="single"/>
        </w:rPr>
        <w:lastRenderedPageBreak/>
        <w:t>Recent Initiatives-</w:t>
      </w:r>
    </w:p>
    <w:p w14:paraId="0D6337E7" w14:textId="7DFBABA3" w:rsidR="00E71075" w:rsidRPr="0007197B" w:rsidRDefault="00E71075" w:rsidP="00E71075">
      <w:pPr>
        <w:pStyle w:val="ListParagraph"/>
        <w:widowControl w:val="0"/>
        <w:numPr>
          <w:ilvl w:val="0"/>
          <w:numId w:val="5"/>
        </w:numPr>
        <w:spacing w:after="240"/>
        <w:ind w:left="0" w:firstLine="0"/>
        <w:contextualSpacing w:val="0"/>
        <w:jc w:val="both"/>
      </w:pPr>
      <w:r>
        <w:t>In an effort to build and maintain better investor relation the Financial Management Division has indicated that in the 3</w:t>
      </w:r>
      <w:r w:rsidRPr="00E71075">
        <w:rPr>
          <w:vertAlign w:val="superscript"/>
        </w:rPr>
        <w:t>rd</w:t>
      </w:r>
      <w:r>
        <w:t xml:space="preserve"> quarter of 2015 commenced informal weekly market dialogue with local investors and financial institutions relating to: (</w:t>
      </w:r>
      <w:proofErr w:type="spellStart"/>
      <w:r>
        <w:t>i</w:t>
      </w:r>
      <w:proofErr w:type="spellEnd"/>
      <w:r>
        <w:t>) the government’s funding needs; (ii) issuance of T-bills and GIS; (iii) refinancing needs and rollover intentions of government securities; (iv) potential intended public debt activities / transactions to management the debt portfolio e.g. Buybacks.</w:t>
      </w:r>
    </w:p>
    <w:p w14:paraId="22306009" w14:textId="77777777" w:rsidR="00C65B05" w:rsidRDefault="00C65B05" w:rsidP="00AE4DD6">
      <w:pPr>
        <w:widowControl w:val="0"/>
        <w:spacing w:after="240"/>
        <w:jc w:val="center"/>
        <w:rPr>
          <w:rFonts w:cs="Times New Roman"/>
          <w:b/>
          <w:noProof/>
        </w:rPr>
      </w:pPr>
      <w:r>
        <w:rPr>
          <w:rFonts w:cs="Times New Roman"/>
          <w:b/>
          <w:noProof/>
        </w:rPr>
        <w:t>E. Money Market</w:t>
      </w:r>
    </w:p>
    <w:p w14:paraId="34E0F36A" w14:textId="77777777" w:rsidR="00D000E4" w:rsidRPr="008F7368" w:rsidRDefault="00D000E4" w:rsidP="00D000E4">
      <w:pPr>
        <w:widowControl w:val="0"/>
        <w:spacing w:after="240"/>
        <w:rPr>
          <w:rFonts w:cs="Times New Roman"/>
          <w:i/>
          <w:noProof/>
          <w:u w:val="single"/>
        </w:rPr>
      </w:pPr>
      <w:r w:rsidRPr="008F7368">
        <w:rPr>
          <w:rFonts w:cs="Times New Roman"/>
          <w:i/>
          <w:noProof/>
          <w:u w:val="single"/>
        </w:rPr>
        <w:t>Monetary Operations-</w:t>
      </w:r>
    </w:p>
    <w:p w14:paraId="34E7018D" w14:textId="467FFF7D" w:rsidR="00D000E4" w:rsidRPr="00FF5BC1" w:rsidRDefault="00D000E4" w:rsidP="00F04788">
      <w:pPr>
        <w:pStyle w:val="ListParagraph"/>
        <w:widowControl w:val="0"/>
        <w:numPr>
          <w:ilvl w:val="0"/>
          <w:numId w:val="2"/>
        </w:numPr>
        <w:spacing w:after="240"/>
        <w:ind w:left="0" w:firstLine="0"/>
        <w:contextualSpacing w:val="0"/>
        <w:jc w:val="both"/>
        <w:rPr>
          <w:rFonts w:cs="Times New Roman"/>
        </w:rPr>
      </w:pPr>
      <w:r w:rsidRPr="00D000E4">
        <w:rPr>
          <w:rFonts w:cs="Times New Roman"/>
        </w:rPr>
        <w:t>The B</w:t>
      </w:r>
      <w:r w:rsidR="00BA51FF">
        <w:rPr>
          <w:rFonts w:cs="Times New Roman"/>
        </w:rPr>
        <w:t>PNG</w:t>
      </w:r>
      <w:r w:rsidRPr="005B7377">
        <w:rPr>
          <w:rFonts w:cs="Times New Roman"/>
        </w:rPr>
        <w:t xml:space="preserve"> has four main objectives (Central Banking Act 2000, Article 7)</w:t>
      </w:r>
      <w:r>
        <w:rPr>
          <w:rFonts w:cs="Times New Roman"/>
        </w:rPr>
        <w:t xml:space="preserve">: (a) to formulate and implement </w:t>
      </w:r>
      <w:r w:rsidRPr="005B7377">
        <w:rPr>
          <w:rFonts w:cs="Times New Roman"/>
        </w:rPr>
        <w:t>monetary policy with a view to achieving and maintaining price stability; (b) to formulate financial regulation</w:t>
      </w:r>
      <w:r>
        <w:rPr>
          <w:rFonts w:cs="Times New Roman"/>
        </w:rPr>
        <w:t xml:space="preserve"> </w:t>
      </w:r>
      <w:r w:rsidRPr="005B7377">
        <w:rPr>
          <w:rFonts w:cs="Times New Roman"/>
        </w:rPr>
        <w:t>and prudential standards to ensure stability of the financial system in Papua New Guinea; (c) to promote an</w:t>
      </w:r>
      <w:r>
        <w:rPr>
          <w:rFonts w:cs="Times New Roman"/>
        </w:rPr>
        <w:t xml:space="preserve"> </w:t>
      </w:r>
      <w:r w:rsidRPr="005B7377">
        <w:rPr>
          <w:rFonts w:cs="Times New Roman"/>
        </w:rPr>
        <w:t>efficient national and international payments system; and subject to the above; and (d) to promote macroeconomic</w:t>
      </w:r>
      <w:r>
        <w:rPr>
          <w:rFonts w:cs="Times New Roman"/>
        </w:rPr>
        <w:t xml:space="preserve"> </w:t>
      </w:r>
      <w:r w:rsidRPr="005B7377">
        <w:rPr>
          <w:rFonts w:cs="Times New Roman"/>
        </w:rPr>
        <w:t>stability.</w:t>
      </w:r>
    </w:p>
    <w:p w14:paraId="1D33421C" w14:textId="410AF9F0" w:rsidR="00AE4DD6" w:rsidRDefault="00C83DE3" w:rsidP="00F04788">
      <w:pPr>
        <w:pStyle w:val="ListParagraph"/>
        <w:widowControl w:val="0"/>
        <w:numPr>
          <w:ilvl w:val="0"/>
          <w:numId w:val="2"/>
        </w:numPr>
        <w:spacing w:after="240"/>
        <w:ind w:left="0" w:firstLine="0"/>
        <w:contextualSpacing w:val="0"/>
        <w:jc w:val="both"/>
        <w:rPr>
          <w:rFonts w:cs="Times New Roman"/>
        </w:rPr>
      </w:pPr>
      <w:r>
        <w:rPr>
          <w:rFonts w:cs="Times New Roman"/>
        </w:rPr>
        <w:t xml:space="preserve">The </w:t>
      </w:r>
      <w:r w:rsidR="00A2700E">
        <w:rPr>
          <w:rFonts w:cs="Times New Roman"/>
        </w:rPr>
        <w:t>B</w:t>
      </w:r>
      <w:r w:rsidR="00BA51FF">
        <w:rPr>
          <w:rFonts w:cs="Times New Roman"/>
        </w:rPr>
        <w:t xml:space="preserve">PNG </w:t>
      </w:r>
      <w:r w:rsidRPr="00A2700E">
        <w:rPr>
          <w:rFonts w:cs="Times New Roman"/>
        </w:rPr>
        <w:t>conducts</w:t>
      </w:r>
      <w:r>
        <w:rPr>
          <w:rFonts w:cs="Times New Roman"/>
        </w:rPr>
        <w:t xml:space="preserve"> monetary policy with the objective of achieving and </w:t>
      </w:r>
      <w:r w:rsidR="00A2700E">
        <w:rPr>
          <w:rFonts w:cs="Times New Roman"/>
        </w:rPr>
        <w:t>maintaining price stabilit</w:t>
      </w:r>
      <w:r w:rsidR="00D000E4">
        <w:rPr>
          <w:rFonts w:cs="Times New Roman"/>
        </w:rPr>
        <w:t>y</w:t>
      </w:r>
      <w:r w:rsidR="00A2700E">
        <w:rPr>
          <w:rFonts w:cs="Times New Roman"/>
        </w:rPr>
        <w:t>. The BPNG uses indirect instruments for monetary policy operations through the issuanc</w:t>
      </w:r>
      <w:r w:rsidR="00802F12">
        <w:rPr>
          <w:rFonts w:cs="Times New Roman"/>
        </w:rPr>
        <w:t>e of central bank bills (CBBs)</w:t>
      </w:r>
      <w:r w:rsidR="00541174">
        <w:rPr>
          <w:rFonts w:cs="Times New Roman"/>
        </w:rPr>
        <w:t xml:space="preserve"> and the use of Repurchase Agreements (Repo) transitions between commercial banks and </w:t>
      </w:r>
      <w:r w:rsidR="00BA51FF">
        <w:rPr>
          <w:rFonts w:cs="Times New Roman"/>
        </w:rPr>
        <w:t xml:space="preserve">the </w:t>
      </w:r>
      <w:r w:rsidR="00541174">
        <w:rPr>
          <w:rFonts w:cs="Times New Roman"/>
        </w:rPr>
        <w:t xml:space="preserve">BPNG. C-bills volumes are adjusted at the weekly auctions to move the 28-day bill in line with the policy rate or the Kina Facility Rate (KFR). Similarly, the issuance of </w:t>
      </w:r>
      <w:r w:rsidR="00EB3EDE">
        <w:rPr>
          <w:rFonts w:cs="Times New Roman"/>
        </w:rPr>
        <w:t>central government T-bills and I</w:t>
      </w:r>
      <w:r w:rsidR="00541174">
        <w:rPr>
          <w:rFonts w:cs="Times New Roman"/>
        </w:rPr>
        <w:t>nscribed</w:t>
      </w:r>
      <w:r w:rsidR="00EB3EDE">
        <w:rPr>
          <w:rFonts w:cs="Times New Roman"/>
        </w:rPr>
        <w:t xml:space="preserve"> S</w:t>
      </w:r>
      <w:r w:rsidR="00541174">
        <w:rPr>
          <w:rFonts w:cs="Times New Roman"/>
        </w:rPr>
        <w:t>tock are factor</w:t>
      </w:r>
      <w:r w:rsidR="006F3EE7">
        <w:rPr>
          <w:rFonts w:cs="Times New Roman"/>
        </w:rPr>
        <w:t>ed</w:t>
      </w:r>
      <w:r w:rsidR="007F37CA">
        <w:rPr>
          <w:rFonts w:cs="Times New Roman"/>
        </w:rPr>
        <w:t xml:space="preserve"> in the B</w:t>
      </w:r>
      <w:r w:rsidR="00541174">
        <w:rPr>
          <w:rFonts w:cs="Times New Roman"/>
        </w:rPr>
        <w:t xml:space="preserve">ank’s </w:t>
      </w:r>
      <w:r w:rsidR="00EB3EDE">
        <w:rPr>
          <w:rFonts w:cs="Times New Roman"/>
        </w:rPr>
        <w:t>assessment, forecasting, and management of system liquidity.</w:t>
      </w:r>
    </w:p>
    <w:p w14:paraId="527BF560" w14:textId="77777777" w:rsidR="00541174" w:rsidRDefault="00EB3EDE" w:rsidP="00F04788">
      <w:pPr>
        <w:pStyle w:val="ListParagraph"/>
        <w:widowControl w:val="0"/>
        <w:numPr>
          <w:ilvl w:val="0"/>
          <w:numId w:val="2"/>
        </w:numPr>
        <w:spacing w:after="240"/>
        <w:ind w:left="0" w:firstLine="0"/>
        <w:contextualSpacing w:val="0"/>
        <w:jc w:val="both"/>
        <w:rPr>
          <w:rFonts w:cs="Times New Roman"/>
        </w:rPr>
      </w:pPr>
      <w:r w:rsidRPr="00C42497">
        <w:rPr>
          <w:rFonts w:cs="Times New Roman"/>
        </w:rPr>
        <w:t>The Bank also</w:t>
      </w:r>
      <w:r>
        <w:rPr>
          <w:rFonts w:cs="Times New Roman"/>
        </w:rPr>
        <w:t xml:space="preserve"> has</w:t>
      </w:r>
      <w:r w:rsidR="00541174" w:rsidRPr="00541174">
        <w:rPr>
          <w:rFonts w:cs="Times New Roman"/>
        </w:rPr>
        <w:t xml:space="preserve"> </w:t>
      </w:r>
      <w:r w:rsidR="00307C6F">
        <w:rPr>
          <w:rFonts w:cs="Times New Roman"/>
        </w:rPr>
        <w:t xml:space="preserve">at its disposal administrative or </w:t>
      </w:r>
      <w:r w:rsidR="00541174" w:rsidRPr="00541174">
        <w:rPr>
          <w:rFonts w:cs="Times New Roman"/>
        </w:rPr>
        <w:t>direct policy instrument</w:t>
      </w:r>
      <w:r w:rsidR="00307C6F">
        <w:rPr>
          <w:rFonts w:cs="Times New Roman"/>
        </w:rPr>
        <w:t>s</w:t>
      </w:r>
      <w:r w:rsidR="00541174" w:rsidRPr="00541174">
        <w:rPr>
          <w:rFonts w:cs="Times New Roman"/>
        </w:rPr>
        <w:t xml:space="preserve">, the </w:t>
      </w:r>
      <w:r w:rsidR="00307C6F">
        <w:rPr>
          <w:rFonts w:cs="Times New Roman"/>
        </w:rPr>
        <w:t xml:space="preserve">Cash Reserve Requirement (CRR) </w:t>
      </w:r>
      <w:r w:rsidR="00BA51FF">
        <w:rPr>
          <w:rFonts w:cs="Times New Roman"/>
        </w:rPr>
        <w:t xml:space="preserve">is </w:t>
      </w:r>
      <w:r w:rsidR="00C42497">
        <w:rPr>
          <w:rFonts w:cs="Times New Roman"/>
        </w:rPr>
        <w:t xml:space="preserve">currently at 10% to total deposits </w:t>
      </w:r>
      <w:r w:rsidR="00307C6F">
        <w:rPr>
          <w:rFonts w:cs="Times New Roman"/>
        </w:rPr>
        <w:t xml:space="preserve">and the </w:t>
      </w:r>
      <w:r w:rsidR="00C42497">
        <w:rPr>
          <w:rFonts w:cs="Times New Roman"/>
        </w:rPr>
        <w:t xml:space="preserve">bank uses </w:t>
      </w:r>
      <w:r w:rsidR="00307C6F">
        <w:rPr>
          <w:rFonts w:cs="Times New Roman"/>
        </w:rPr>
        <w:t xml:space="preserve">Minimum Liquid Asset Requirement (MLAR) </w:t>
      </w:r>
      <w:r w:rsidR="00C42497">
        <w:rPr>
          <w:rFonts w:cs="Times New Roman"/>
        </w:rPr>
        <w:t>for analysis</w:t>
      </w:r>
      <w:r w:rsidR="006F3EE7">
        <w:rPr>
          <w:rFonts w:cs="Times New Roman"/>
        </w:rPr>
        <w:t xml:space="preserve"> </w:t>
      </w:r>
      <w:r w:rsidR="006F3EE7" w:rsidRPr="007F37CA">
        <w:rPr>
          <w:rFonts w:cs="Times New Roman"/>
          <w:i/>
        </w:rPr>
        <w:t>only</w:t>
      </w:r>
      <w:r w:rsidR="00C42497">
        <w:rPr>
          <w:rFonts w:cs="Times New Roman"/>
        </w:rPr>
        <w:t xml:space="preserve"> with 20% as an acceptable level. T-bills and inscribed stock are classified as liquid assets.</w:t>
      </w:r>
    </w:p>
    <w:p w14:paraId="78814F78" w14:textId="77777777" w:rsidR="00A2700E" w:rsidRPr="00A2700E" w:rsidRDefault="00BA51FF" w:rsidP="00F04788">
      <w:pPr>
        <w:pStyle w:val="ListParagraph"/>
        <w:widowControl w:val="0"/>
        <w:numPr>
          <w:ilvl w:val="0"/>
          <w:numId w:val="2"/>
        </w:numPr>
        <w:spacing w:after="240"/>
        <w:ind w:left="0" w:firstLine="0"/>
        <w:contextualSpacing w:val="0"/>
        <w:jc w:val="both"/>
        <w:rPr>
          <w:rFonts w:cs="Times New Roman"/>
        </w:rPr>
      </w:pPr>
      <w:r>
        <w:rPr>
          <w:rFonts w:cs="Times New Roman"/>
        </w:rPr>
        <w:t xml:space="preserve">The </w:t>
      </w:r>
      <w:r w:rsidR="00FE0335">
        <w:rPr>
          <w:rFonts w:cs="Times New Roman"/>
        </w:rPr>
        <w:t>BPNG’s</w:t>
      </w:r>
      <w:r w:rsidR="00307C6F">
        <w:rPr>
          <w:rFonts w:cs="Times New Roman"/>
        </w:rPr>
        <w:t xml:space="preserve"> </w:t>
      </w:r>
      <w:r w:rsidR="00A2700E" w:rsidRPr="00A2700E">
        <w:rPr>
          <w:rFonts w:cs="Times New Roman"/>
        </w:rPr>
        <w:t xml:space="preserve">Monetary and Economic Policy Group is responsible for the design and formulation of monetary policy, while the Financial Markets Department of the Financial </w:t>
      </w:r>
      <w:r w:rsidR="00307C6F">
        <w:rPr>
          <w:rFonts w:cs="Times New Roman"/>
        </w:rPr>
        <w:t xml:space="preserve">Operations Group implements monetary </w:t>
      </w:r>
      <w:r w:rsidR="00A2700E" w:rsidRPr="00A2700E">
        <w:rPr>
          <w:rFonts w:cs="Times New Roman"/>
        </w:rPr>
        <w:t>polic</w:t>
      </w:r>
      <w:r w:rsidR="00307C6F">
        <w:rPr>
          <w:rFonts w:cs="Times New Roman"/>
        </w:rPr>
        <w:t>y mainly through the use of market-based instruments.</w:t>
      </w:r>
    </w:p>
    <w:p w14:paraId="13D2A881" w14:textId="5D234D38" w:rsidR="005A67B4" w:rsidRPr="00C83DE3" w:rsidRDefault="00802F12" w:rsidP="00F04788">
      <w:pPr>
        <w:pStyle w:val="ListParagraph"/>
        <w:widowControl w:val="0"/>
        <w:numPr>
          <w:ilvl w:val="0"/>
          <w:numId w:val="2"/>
        </w:numPr>
        <w:spacing w:after="240"/>
        <w:ind w:left="0" w:firstLine="0"/>
        <w:contextualSpacing w:val="0"/>
        <w:jc w:val="both"/>
        <w:rPr>
          <w:rFonts w:cs="Times New Roman"/>
        </w:rPr>
      </w:pPr>
      <w:r>
        <w:rPr>
          <w:rFonts w:cs="Times New Roman"/>
        </w:rPr>
        <w:t>CBBs</w:t>
      </w:r>
      <w:r w:rsidR="00FE0335">
        <w:rPr>
          <w:rFonts w:cs="Times New Roman"/>
        </w:rPr>
        <w:t xml:space="preserve"> are issued at the short-</w:t>
      </w:r>
      <w:r w:rsidR="00C83DE3" w:rsidRPr="00C83DE3">
        <w:rPr>
          <w:rFonts w:cs="Times New Roman"/>
        </w:rPr>
        <w:t xml:space="preserve">end of the </w:t>
      </w:r>
      <w:r w:rsidR="00FE0335">
        <w:rPr>
          <w:rFonts w:cs="Times New Roman"/>
        </w:rPr>
        <w:t xml:space="preserve">T-bill maturity range </w:t>
      </w:r>
      <w:r>
        <w:rPr>
          <w:rFonts w:cs="Times New Roman"/>
        </w:rPr>
        <w:t xml:space="preserve">28-, 63-, </w:t>
      </w:r>
      <w:r w:rsidR="00C83DE3" w:rsidRPr="00C83DE3">
        <w:rPr>
          <w:rFonts w:cs="Times New Roman"/>
        </w:rPr>
        <w:t>91</w:t>
      </w:r>
      <w:r>
        <w:rPr>
          <w:rFonts w:cs="Times New Roman"/>
        </w:rPr>
        <w:t>, 182</w:t>
      </w:r>
      <w:r w:rsidR="00C83DE3" w:rsidRPr="00C83DE3">
        <w:rPr>
          <w:rFonts w:cs="Times New Roman"/>
        </w:rPr>
        <w:t>-day</w:t>
      </w:r>
      <w:r w:rsidR="00C83DE3">
        <w:rPr>
          <w:rFonts w:cs="Times New Roman"/>
        </w:rPr>
        <w:t xml:space="preserve"> </w:t>
      </w:r>
      <w:r w:rsidR="00FE0335">
        <w:rPr>
          <w:rFonts w:cs="Times New Roman"/>
        </w:rPr>
        <w:t>maturities</w:t>
      </w:r>
      <w:r w:rsidR="00C83DE3" w:rsidRPr="00C83DE3">
        <w:rPr>
          <w:rFonts w:cs="Times New Roman"/>
        </w:rPr>
        <w:t>.</w:t>
      </w:r>
      <w:r>
        <w:rPr>
          <w:rFonts w:cs="Times New Roman"/>
        </w:rPr>
        <w:t xml:space="preserve"> </w:t>
      </w:r>
      <w:r w:rsidR="00246327">
        <w:rPr>
          <w:rFonts w:cs="Times New Roman"/>
        </w:rPr>
        <w:t>CBB issuance mix is determined by the Money Market Operations Committee</w:t>
      </w:r>
      <w:r w:rsidR="006F3EE7">
        <w:rPr>
          <w:rFonts w:cs="Times New Roman"/>
        </w:rPr>
        <w:t xml:space="preserve"> (MMOC)</w:t>
      </w:r>
      <w:r w:rsidR="00246327">
        <w:rPr>
          <w:rFonts w:cs="Times New Roman"/>
        </w:rPr>
        <w:t xml:space="preserve"> to achieve the targeted closing balance in the Exchange Settlement Account (ESA)</w:t>
      </w:r>
      <w:r w:rsidR="00122310">
        <w:rPr>
          <w:rFonts w:cs="Times New Roman"/>
        </w:rPr>
        <w:t xml:space="preserve">. </w:t>
      </w:r>
      <w:r w:rsidR="00246327">
        <w:rPr>
          <w:rFonts w:cs="Times New Roman"/>
        </w:rPr>
        <w:t>Registered Bidders can purchase CBBs at the weekly</w:t>
      </w:r>
      <w:r w:rsidRPr="00802F12">
        <w:rPr>
          <w:rFonts w:cs="Times New Roman"/>
        </w:rPr>
        <w:t xml:space="preserve"> </w:t>
      </w:r>
      <w:r w:rsidR="00246327" w:rsidRPr="00802F12">
        <w:rPr>
          <w:rFonts w:cs="Times New Roman"/>
        </w:rPr>
        <w:t>auction</w:t>
      </w:r>
      <w:r w:rsidR="00246327">
        <w:rPr>
          <w:rFonts w:cs="Times New Roman"/>
        </w:rPr>
        <w:t>s</w:t>
      </w:r>
      <w:r w:rsidR="00246327" w:rsidRPr="00802F12">
        <w:rPr>
          <w:rFonts w:cs="Times New Roman"/>
        </w:rPr>
        <w:t>, which</w:t>
      </w:r>
      <w:r w:rsidRPr="00802F12">
        <w:rPr>
          <w:rFonts w:cs="Times New Roman"/>
        </w:rPr>
        <w:t xml:space="preserve"> is con</w:t>
      </w:r>
      <w:r w:rsidR="00246327">
        <w:rPr>
          <w:rFonts w:cs="Times New Roman"/>
        </w:rPr>
        <w:t xml:space="preserve">ducted every Wednesday </w:t>
      </w:r>
      <w:r w:rsidR="0060282D">
        <w:rPr>
          <w:rFonts w:cs="Times New Roman"/>
        </w:rPr>
        <w:t>from 9am – 12pm</w:t>
      </w:r>
      <w:r w:rsidRPr="00802F12">
        <w:rPr>
          <w:rFonts w:cs="Times New Roman"/>
        </w:rPr>
        <w:t>, at the B</w:t>
      </w:r>
      <w:r w:rsidR="00BA51FF">
        <w:rPr>
          <w:rFonts w:cs="Times New Roman"/>
        </w:rPr>
        <w:t>PNG</w:t>
      </w:r>
      <w:r w:rsidRPr="00802F12">
        <w:rPr>
          <w:rFonts w:cs="Times New Roman"/>
        </w:rPr>
        <w:t xml:space="preserve">. </w:t>
      </w:r>
      <w:r w:rsidR="00122310">
        <w:rPr>
          <w:rFonts w:cs="Times New Roman"/>
        </w:rPr>
        <w:t>CBB auctions are based on competitive and multiple priced bid</w:t>
      </w:r>
      <w:r w:rsidR="007F37CA">
        <w:rPr>
          <w:rFonts w:cs="Times New Roman"/>
        </w:rPr>
        <w:t>d</w:t>
      </w:r>
      <w:r w:rsidR="00122310">
        <w:rPr>
          <w:rFonts w:cs="Times New Roman"/>
        </w:rPr>
        <w:t>ing.</w:t>
      </w:r>
      <w:r w:rsidR="006F3EE7">
        <w:rPr>
          <w:rFonts w:cs="Times New Roman"/>
        </w:rPr>
        <w:t xml:space="preserve"> The composition of CBBs is 47% 28-day; 25% 63-day; and 28% 91-day.</w:t>
      </w:r>
    </w:p>
    <w:p w14:paraId="139724B9" w14:textId="2E563FCD" w:rsidR="005A67B4" w:rsidRDefault="00C83DE3" w:rsidP="00F04788">
      <w:pPr>
        <w:pStyle w:val="ListParagraph"/>
        <w:widowControl w:val="0"/>
        <w:numPr>
          <w:ilvl w:val="0"/>
          <w:numId w:val="2"/>
        </w:numPr>
        <w:spacing w:after="240"/>
        <w:ind w:left="0" w:firstLine="0"/>
        <w:contextualSpacing w:val="0"/>
        <w:jc w:val="both"/>
        <w:rPr>
          <w:rFonts w:cs="Times New Roman"/>
        </w:rPr>
      </w:pPr>
      <w:r w:rsidRPr="00122310">
        <w:rPr>
          <w:rFonts w:cs="Times New Roman"/>
        </w:rPr>
        <w:t>Repos</w:t>
      </w:r>
      <w:r>
        <w:rPr>
          <w:rFonts w:cs="Times New Roman"/>
        </w:rPr>
        <w:t xml:space="preserve"> a</w:t>
      </w:r>
      <w:r w:rsidR="00122310">
        <w:rPr>
          <w:rFonts w:cs="Times New Roman"/>
        </w:rPr>
        <w:t xml:space="preserve">nd reverse repos operations can be conducted by </w:t>
      </w:r>
      <w:r w:rsidR="00BA51FF">
        <w:rPr>
          <w:rFonts w:cs="Times New Roman"/>
        </w:rPr>
        <w:t xml:space="preserve">the </w:t>
      </w:r>
      <w:r w:rsidR="00122310">
        <w:rPr>
          <w:rFonts w:cs="Times New Roman"/>
        </w:rPr>
        <w:t xml:space="preserve">BPNG for the sole </w:t>
      </w:r>
      <w:r w:rsidR="00122310">
        <w:rPr>
          <w:rFonts w:cs="Times New Roman"/>
        </w:rPr>
        <w:lastRenderedPageBreak/>
        <w:t>purpose of injecting (repo) or withdrawing (reverse repo) liquidity in the system. Repo transactions are not collateralized</w:t>
      </w:r>
      <w:r w:rsidR="00916193">
        <w:rPr>
          <w:rFonts w:cs="Times New Roman"/>
        </w:rPr>
        <w:t xml:space="preserve">, thus </w:t>
      </w:r>
      <w:r w:rsidR="00BA51FF">
        <w:rPr>
          <w:rFonts w:cs="Times New Roman"/>
        </w:rPr>
        <w:t xml:space="preserve">they are </w:t>
      </w:r>
      <w:r w:rsidR="00916193">
        <w:rPr>
          <w:rFonts w:cs="Times New Roman"/>
        </w:rPr>
        <w:t xml:space="preserve">not </w:t>
      </w:r>
      <w:r w:rsidR="007F37CA">
        <w:rPr>
          <w:rFonts w:cs="Times New Roman"/>
        </w:rPr>
        <w:t xml:space="preserve">a classic </w:t>
      </w:r>
      <w:r w:rsidR="00916193">
        <w:rPr>
          <w:rFonts w:cs="Times New Roman"/>
        </w:rPr>
        <w:t>Repo</w:t>
      </w:r>
      <w:r w:rsidR="00BA51FF">
        <w:rPr>
          <w:rFonts w:cs="Times New Roman"/>
        </w:rPr>
        <w:t xml:space="preserve">, </w:t>
      </w:r>
      <w:r w:rsidR="00916193">
        <w:rPr>
          <w:rFonts w:cs="Times New Roman"/>
        </w:rPr>
        <w:t>but buy-sell back,</w:t>
      </w:r>
      <w:r w:rsidR="00122310">
        <w:rPr>
          <w:rFonts w:cs="Times New Roman"/>
        </w:rPr>
        <w:t xml:space="preserve"> and are priced at one percent above or below the Kina Facility Rate.</w:t>
      </w:r>
    </w:p>
    <w:p w14:paraId="2868881A" w14:textId="77777777" w:rsidR="0060282D" w:rsidRPr="006617BA" w:rsidRDefault="00C83DE3" w:rsidP="00F04788">
      <w:pPr>
        <w:pStyle w:val="ListParagraph"/>
        <w:widowControl w:val="0"/>
        <w:numPr>
          <w:ilvl w:val="0"/>
          <w:numId w:val="2"/>
        </w:numPr>
        <w:spacing w:after="240"/>
        <w:ind w:left="0" w:firstLine="0"/>
        <w:contextualSpacing w:val="0"/>
        <w:jc w:val="both"/>
        <w:rPr>
          <w:rFonts w:cs="Times New Roman"/>
          <w:sz w:val="32"/>
          <w:szCs w:val="32"/>
        </w:rPr>
      </w:pPr>
      <w:r>
        <w:rPr>
          <w:rFonts w:cs="Times New Roman"/>
        </w:rPr>
        <w:t xml:space="preserve">There are </w:t>
      </w:r>
      <w:r w:rsidRPr="00916193">
        <w:rPr>
          <w:rFonts w:cs="Times New Roman"/>
        </w:rPr>
        <w:t>no standing facilities</w:t>
      </w:r>
      <w:r w:rsidR="0060282D" w:rsidRPr="00916193">
        <w:rPr>
          <w:rStyle w:val="FootnoteReference"/>
          <w:rFonts w:cs="Times New Roman"/>
        </w:rPr>
        <w:footnoteReference w:id="16"/>
      </w:r>
      <w:r>
        <w:rPr>
          <w:rFonts w:cs="Times New Roman"/>
          <w:sz w:val="16"/>
          <w:szCs w:val="16"/>
        </w:rPr>
        <w:t xml:space="preserve"> </w:t>
      </w:r>
      <w:r>
        <w:rPr>
          <w:rFonts w:cs="Times New Roman"/>
        </w:rPr>
        <w:t>available to deposit taking institutions.</w:t>
      </w:r>
      <w:r w:rsidR="0060282D">
        <w:rPr>
          <w:rFonts w:cs="Times New Roman"/>
        </w:rPr>
        <w:t xml:space="preserve"> </w:t>
      </w:r>
      <w:r w:rsidR="0060282D" w:rsidRPr="0060282D">
        <w:rPr>
          <w:rFonts w:cs="Times New Roman"/>
        </w:rPr>
        <w:t>Under KATS, it is a requ</w:t>
      </w:r>
      <w:r w:rsidR="00916193">
        <w:rPr>
          <w:rFonts w:cs="Times New Roman"/>
        </w:rPr>
        <w:t>irement that no commercial bank</w:t>
      </w:r>
      <w:r w:rsidR="00F62270">
        <w:rPr>
          <w:rFonts w:cs="Times New Roman"/>
        </w:rPr>
        <w:t xml:space="preserve"> can</w:t>
      </w:r>
      <w:r w:rsidR="0060282D" w:rsidRPr="0060282D">
        <w:rPr>
          <w:rFonts w:cs="Times New Roman"/>
        </w:rPr>
        <w:t xml:space="preserve"> have a negative </w:t>
      </w:r>
      <w:r w:rsidR="00916193">
        <w:rPr>
          <w:rFonts w:cs="Times New Roman"/>
        </w:rPr>
        <w:t xml:space="preserve">balance in their </w:t>
      </w:r>
      <w:r w:rsidR="0060282D" w:rsidRPr="0060282D">
        <w:rPr>
          <w:rFonts w:cs="Times New Roman"/>
        </w:rPr>
        <w:t xml:space="preserve">Exchange Settlement Account </w:t>
      </w:r>
      <w:r w:rsidR="00916193">
        <w:rPr>
          <w:rFonts w:cs="Times New Roman"/>
        </w:rPr>
        <w:t>by</w:t>
      </w:r>
      <w:r w:rsidR="0060282D" w:rsidRPr="0060282D">
        <w:rPr>
          <w:rFonts w:cs="Times New Roman"/>
        </w:rPr>
        <w:t xml:space="preserve"> end of </w:t>
      </w:r>
      <w:r w:rsidR="00F62270">
        <w:rPr>
          <w:rFonts w:cs="Times New Roman"/>
        </w:rPr>
        <w:t xml:space="preserve">the business </w:t>
      </w:r>
      <w:r w:rsidR="0060282D" w:rsidRPr="0060282D">
        <w:rPr>
          <w:rFonts w:cs="Times New Roman"/>
        </w:rPr>
        <w:t>day</w:t>
      </w:r>
      <w:r w:rsidR="00F62270">
        <w:rPr>
          <w:rFonts w:cs="Times New Roman"/>
        </w:rPr>
        <w:t xml:space="preserve"> (5:00pm)</w:t>
      </w:r>
      <w:r w:rsidR="0060282D" w:rsidRPr="0060282D">
        <w:rPr>
          <w:rFonts w:cs="Times New Roman"/>
        </w:rPr>
        <w:t>. </w:t>
      </w:r>
      <w:r w:rsidR="00916193">
        <w:rPr>
          <w:rFonts w:cs="Times New Roman"/>
        </w:rPr>
        <w:t xml:space="preserve"> A commercial bank must first access the interbank market to bring its ESA</w:t>
      </w:r>
      <w:r w:rsidR="00F62270">
        <w:rPr>
          <w:rFonts w:cs="Times New Roman"/>
        </w:rPr>
        <w:t xml:space="preserve"> back to zero or credit balance and should the bank not find funding/liquidity in the interbank market they</w:t>
      </w:r>
      <w:r w:rsidR="0060282D" w:rsidRPr="0060282D">
        <w:rPr>
          <w:rFonts w:cs="Times New Roman"/>
        </w:rPr>
        <w:t xml:space="preserve"> can borrow from </w:t>
      </w:r>
      <w:r w:rsidR="00BA51FF">
        <w:rPr>
          <w:rFonts w:cs="Times New Roman"/>
        </w:rPr>
        <w:t xml:space="preserve">the </w:t>
      </w:r>
      <w:r w:rsidR="0060282D" w:rsidRPr="0060282D">
        <w:rPr>
          <w:rFonts w:cs="Times New Roman"/>
        </w:rPr>
        <w:t>BPNG at the Kina Facility Rate</w:t>
      </w:r>
      <w:r w:rsidR="00F62270">
        <w:rPr>
          <w:rFonts w:cs="Times New Roman"/>
        </w:rPr>
        <w:t xml:space="preserve"> (seen as a Lender of Last Resort)</w:t>
      </w:r>
      <w:r w:rsidR="00BD2163">
        <w:rPr>
          <w:rStyle w:val="FootnoteReference"/>
          <w:rFonts w:cs="Times New Roman"/>
        </w:rPr>
        <w:footnoteReference w:id="17"/>
      </w:r>
      <w:r w:rsidR="0060282D" w:rsidRPr="0060282D">
        <w:rPr>
          <w:rFonts w:cs="Times New Roman"/>
        </w:rPr>
        <w:t>.  This is a temporary arrangement in the</w:t>
      </w:r>
      <w:r w:rsidR="00BD2163">
        <w:rPr>
          <w:rFonts w:cs="Times New Roman"/>
        </w:rPr>
        <w:t xml:space="preserve"> absence of a standing facility.</w:t>
      </w:r>
    </w:p>
    <w:p w14:paraId="4D3A1E71" w14:textId="77777777" w:rsidR="00FF1C80" w:rsidRPr="00BD2163" w:rsidRDefault="00FF1C80" w:rsidP="00F04788">
      <w:pPr>
        <w:pStyle w:val="ListParagraph"/>
        <w:widowControl w:val="0"/>
        <w:numPr>
          <w:ilvl w:val="0"/>
          <w:numId w:val="2"/>
        </w:numPr>
        <w:spacing w:after="240"/>
        <w:ind w:left="0" w:firstLine="0"/>
        <w:contextualSpacing w:val="0"/>
        <w:jc w:val="both"/>
        <w:rPr>
          <w:rFonts w:cs="Times New Roman"/>
          <w:sz w:val="32"/>
          <w:szCs w:val="32"/>
        </w:rPr>
      </w:pPr>
      <w:r>
        <w:rPr>
          <w:rFonts w:cs="Times New Roman"/>
        </w:rPr>
        <w:t xml:space="preserve">Trust fund accounts and their spending accounts are currently being held at the Bank of South Pacific </w:t>
      </w:r>
      <w:r w:rsidR="00FB1E2E">
        <w:rPr>
          <w:rFonts w:cs="Times New Roman"/>
        </w:rPr>
        <w:t xml:space="preserve">thus </w:t>
      </w:r>
      <w:r>
        <w:rPr>
          <w:rFonts w:cs="Times New Roman"/>
        </w:rPr>
        <w:t xml:space="preserve">escalating the excess liquidity for </w:t>
      </w:r>
      <w:r w:rsidR="00BA51FF">
        <w:rPr>
          <w:rFonts w:cs="Times New Roman"/>
        </w:rPr>
        <w:t xml:space="preserve">the </w:t>
      </w:r>
      <w:r>
        <w:rPr>
          <w:rFonts w:cs="Times New Roman"/>
        </w:rPr>
        <w:t>BPNG to manage</w:t>
      </w:r>
      <w:r w:rsidR="00FB1E2E">
        <w:rPr>
          <w:rFonts w:cs="Times New Roman"/>
        </w:rPr>
        <w:t xml:space="preserve"> and </w:t>
      </w:r>
      <w:r w:rsidR="00BA51FF">
        <w:rPr>
          <w:rFonts w:cs="Times New Roman"/>
        </w:rPr>
        <w:t xml:space="preserve">this in turn </w:t>
      </w:r>
      <w:r w:rsidR="00D44808">
        <w:rPr>
          <w:rFonts w:cs="Times New Roman"/>
        </w:rPr>
        <w:t>increases the cost BPNG must bear in their</w:t>
      </w:r>
      <w:r w:rsidR="00FB1E2E">
        <w:rPr>
          <w:rFonts w:cs="Times New Roman"/>
        </w:rPr>
        <w:t xml:space="preserve"> issuance of CBBs to sterilize </w:t>
      </w:r>
      <w:r w:rsidR="00D44808">
        <w:rPr>
          <w:rFonts w:cs="Times New Roman"/>
        </w:rPr>
        <w:t xml:space="preserve">excess </w:t>
      </w:r>
      <w:r w:rsidR="00FB1E2E">
        <w:rPr>
          <w:rFonts w:cs="Times New Roman"/>
        </w:rPr>
        <w:t xml:space="preserve">liquidity. </w:t>
      </w:r>
    </w:p>
    <w:p w14:paraId="49AEBC74" w14:textId="088A0366" w:rsidR="00BD2163" w:rsidRPr="008F7368" w:rsidRDefault="00BD2163" w:rsidP="00BD2163">
      <w:pPr>
        <w:widowControl w:val="0"/>
        <w:spacing w:after="240"/>
        <w:jc w:val="both"/>
        <w:rPr>
          <w:rFonts w:cs="Times New Roman"/>
          <w:i/>
          <w:u w:val="single"/>
        </w:rPr>
      </w:pPr>
      <w:r w:rsidRPr="006617BA">
        <w:rPr>
          <w:rFonts w:cs="Times New Roman"/>
          <w:i/>
          <w:u w:val="single"/>
        </w:rPr>
        <w:t>Interbank Market</w:t>
      </w:r>
      <w:r w:rsidR="000812B5">
        <w:rPr>
          <w:rFonts w:cs="Times New Roman"/>
          <w:i/>
          <w:u w:val="single"/>
        </w:rPr>
        <w:t xml:space="preserve"> </w:t>
      </w:r>
      <w:r w:rsidRPr="008F7368">
        <w:rPr>
          <w:rFonts w:cs="Times New Roman"/>
          <w:i/>
          <w:u w:val="single"/>
        </w:rPr>
        <w:t>-</w:t>
      </w:r>
    </w:p>
    <w:p w14:paraId="4F807B17" w14:textId="3DDA68E0" w:rsidR="00570948" w:rsidRPr="006617BA" w:rsidRDefault="009109C5" w:rsidP="00BD2163">
      <w:pPr>
        <w:pStyle w:val="ListParagraph"/>
        <w:widowControl w:val="0"/>
        <w:numPr>
          <w:ilvl w:val="0"/>
          <w:numId w:val="2"/>
        </w:numPr>
        <w:spacing w:after="240"/>
        <w:ind w:left="0" w:firstLine="0"/>
        <w:contextualSpacing w:val="0"/>
        <w:jc w:val="both"/>
        <w:rPr>
          <w:rFonts w:cs="Times New Roman"/>
          <w:i/>
          <w:u w:val="single"/>
        </w:rPr>
      </w:pPr>
      <w:r w:rsidRPr="00570948">
        <w:rPr>
          <w:rFonts w:cs="Times New Roman"/>
        </w:rPr>
        <w:t xml:space="preserve">The current interbank market is very illiquid and transactions that do occur </w:t>
      </w:r>
      <w:r w:rsidR="00CB30BA" w:rsidRPr="00570948">
        <w:rPr>
          <w:rFonts w:cs="Times New Roman"/>
        </w:rPr>
        <w:t xml:space="preserve">are </w:t>
      </w:r>
      <w:r w:rsidRPr="00570948">
        <w:rPr>
          <w:rFonts w:cs="Times New Roman"/>
        </w:rPr>
        <w:t xml:space="preserve">only for overnight funds. The interbank market comprises only </w:t>
      </w:r>
      <w:r w:rsidR="00BA51FF">
        <w:rPr>
          <w:rFonts w:cs="Times New Roman"/>
        </w:rPr>
        <w:t>three</w:t>
      </w:r>
      <w:r w:rsidRPr="00570948">
        <w:rPr>
          <w:rFonts w:cs="Times New Roman"/>
        </w:rPr>
        <w:t xml:space="preserve"> banks</w:t>
      </w:r>
      <w:r w:rsidR="00DC18A6" w:rsidRPr="00570948">
        <w:rPr>
          <w:rFonts w:cs="Times New Roman"/>
        </w:rPr>
        <w:t xml:space="preserve">, two Australian </w:t>
      </w:r>
      <w:r w:rsidR="00BA51FF">
        <w:rPr>
          <w:rFonts w:cs="Times New Roman"/>
        </w:rPr>
        <w:t>banks</w:t>
      </w:r>
      <w:r w:rsidR="00616014">
        <w:rPr>
          <w:rFonts w:cs="Times New Roman"/>
        </w:rPr>
        <w:t xml:space="preserve"> (ANZ and Westpac)</w:t>
      </w:r>
      <w:r w:rsidR="00BA51FF">
        <w:rPr>
          <w:rFonts w:cs="Times New Roman"/>
        </w:rPr>
        <w:t xml:space="preserve"> </w:t>
      </w:r>
      <w:r w:rsidR="00DC18A6" w:rsidRPr="00570948">
        <w:rPr>
          <w:rFonts w:cs="Times New Roman"/>
        </w:rPr>
        <w:t>and BSP. The main</w:t>
      </w:r>
      <w:r w:rsidR="00B502E3" w:rsidRPr="00570948">
        <w:rPr>
          <w:rFonts w:cs="Times New Roman"/>
        </w:rPr>
        <w:t xml:space="preserve"> reason for li</w:t>
      </w:r>
      <w:r w:rsidR="00DC18A6" w:rsidRPr="00570948">
        <w:rPr>
          <w:rFonts w:cs="Times New Roman"/>
        </w:rPr>
        <w:t>mited interbank transa</w:t>
      </w:r>
      <w:r w:rsidR="00CB30BA" w:rsidRPr="00570948">
        <w:rPr>
          <w:rFonts w:cs="Times New Roman"/>
        </w:rPr>
        <w:t xml:space="preserve">ctions </w:t>
      </w:r>
      <w:r w:rsidR="00DC18A6" w:rsidRPr="00570948">
        <w:rPr>
          <w:rFonts w:cs="Times New Roman"/>
        </w:rPr>
        <w:t>has been</w:t>
      </w:r>
      <w:r w:rsidR="00B502E3" w:rsidRPr="00570948">
        <w:rPr>
          <w:rFonts w:cs="Times New Roman"/>
        </w:rPr>
        <w:t xml:space="preserve"> excess bank liquidity</w:t>
      </w:r>
      <w:r w:rsidRPr="00570948">
        <w:rPr>
          <w:rFonts w:cs="Times New Roman"/>
        </w:rPr>
        <w:t xml:space="preserve"> </w:t>
      </w:r>
      <w:r w:rsidR="00B502E3" w:rsidRPr="00570948">
        <w:rPr>
          <w:rFonts w:cs="Times New Roman"/>
        </w:rPr>
        <w:t xml:space="preserve">and </w:t>
      </w:r>
      <w:r w:rsidR="00DC18A6" w:rsidRPr="00570948">
        <w:rPr>
          <w:rFonts w:cs="Times New Roman"/>
        </w:rPr>
        <w:t xml:space="preserve">little need and or incentive to trade. Also, limited unsecured credit limits between </w:t>
      </w:r>
      <w:r w:rsidR="00E43EEE" w:rsidRPr="00570948">
        <w:rPr>
          <w:rFonts w:cs="Times New Roman"/>
        </w:rPr>
        <w:t>ANZ, Westpac</w:t>
      </w:r>
      <w:r w:rsidR="00DC18A6" w:rsidRPr="00570948">
        <w:rPr>
          <w:rFonts w:cs="Times New Roman"/>
        </w:rPr>
        <w:t>, and BSP could be another reason for lack of transactions.</w:t>
      </w:r>
      <w:r w:rsidR="00CB30BA" w:rsidRPr="00570948">
        <w:rPr>
          <w:rFonts w:cs="Times New Roman"/>
        </w:rPr>
        <w:t xml:space="preserve"> The interbank market is OTC and phone based. Money market rates are determined in the primary market for </w:t>
      </w:r>
      <w:r w:rsidR="00570948" w:rsidRPr="00570948">
        <w:rPr>
          <w:rFonts w:cs="Times New Roman"/>
        </w:rPr>
        <w:t xml:space="preserve">shorter maturity </w:t>
      </w:r>
      <w:r w:rsidR="00CB30BA" w:rsidRPr="00570948">
        <w:rPr>
          <w:rFonts w:cs="Times New Roman"/>
        </w:rPr>
        <w:t xml:space="preserve">CBBs and </w:t>
      </w:r>
      <w:r w:rsidR="00570948" w:rsidRPr="00570948">
        <w:rPr>
          <w:rFonts w:cs="Times New Roman"/>
        </w:rPr>
        <w:t xml:space="preserve">longer maturity </w:t>
      </w:r>
      <w:r w:rsidR="00CB30BA" w:rsidRPr="00570948">
        <w:rPr>
          <w:rFonts w:cs="Times New Roman"/>
        </w:rPr>
        <w:t>T-bills.</w:t>
      </w:r>
      <w:r w:rsidR="00570948" w:rsidRPr="00570948">
        <w:rPr>
          <w:rFonts w:cs="Times New Roman"/>
        </w:rPr>
        <w:t xml:space="preserve"> At present without the Master Repurchase Agreement in place</w:t>
      </w:r>
      <w:r w:rsidR="00616014">
        <w:rPr>
          <w:rFonts w:cs="Times New Roman"/>
        </w:rPr>
        <w:t>,</w:t>
      </w:r>
      <w:r w:rsidR="00570948" w:rsidRPr="00570948">
        <w:rPr>
          <w:rFonts w:cs="Times New Roman"/>
        </w:rPr>
        <w:t xml:space="preserve"> transactions are unsecured. </w:t>
      </w:r>
    </w:p>
    <w:p w14:paraId="0EFF101A" w14:textId="77777777" w:rsidR="006617BA" w:rsidRPr="00D44808" w:rsidRDefault="006617BA" w:rsidP="00BD2163">
      <w:pPr>
        <w:pStyle w:val="ListParagraph"/>
        <w:widowControl w:val="0"/>
        <w:numPr>
          <w:ilvl w:val="0"/>
          <w:numId w:val="2"/>
        </w:numPr>
        <w:spacing w:after="240"/>
        <w:ind w:left="0" w:firstLine="0"/>
        <w:contextualSpacing w:val="0"/>
        <w:jc w:val="both"/>
        <w:rPr>
          <w:rFonts w:cs="Times New Roman"/>
          <w:i/>
          <w:u w:val="single"/>
        </w:rPr>
      </w:pPr>
      <w:r>
        <w:rPr>
          <w:rFonts w:cs="Times New Roman"/>
        </w:rPr>
        <w:t xml:space="preserve">In the absence of </w:t>
      </w:r>
      <w:r w:rsidR="00616014">
        <w:rPr>
          <w:rFonts w:cs="Times New Roman"/>
        </w:rPr>
        <w:t xml:space="preserve">the </w:t>
      </w:r>
      <w:r>
        <w:rPr>
          <w:rFonts w:cs="Times New Roman"/>
        </w:rPr>
        <w:t xml:space="preserve">BPNG standing facilities </w:t>
      </w:r>
      <w:r w:rsidR="002C231A">
        <w:rPr>
          <w:rFonts w:cs="Times New Roman"/>
        </w:rPr>
        <w:t>deposit-taking</w:t>
      </w:r>
      <w:r>
        <w:rPr>
          <w:rFonts w:cs="Times New Roman"/>
        </w:rPr>
        <w:t xml:space="preserve"> institutions</w:t>
      </w:r>
      <w:r w:rsidR="002C231A">
        <w:rPr>
          <w:rFonts w:cs="Times New Roman"/>
        </w:rPr>
        <w:t>,</w:t>
      </w:r>
      <w:r>
        <w:rPr>
          <w:rFonts w:cs="Times New Roman"/>
        </w:rPr>
        <w:t xml:space="preserve"> in their management of liquidity</w:t>
      </w:r>
      <w:r w:rsidR="002C231A">
        <w:rPr>
          <w:rFonts w:cs="Times New Roman"/>
        </w:rPr>
        <w:t>,</w:t>
      </w:r>
      <w:r>
        <w:rPr>
          <w:rFonts w:cs="Times New Roman"/>
        </w:rPr>
        <w:t xml:space="preserve"> </w:t>
      </w:r>
      <w:r w:rsidR="00616014">
        <w:rPr>
          <w:rFonts w:cs="Times New Roman"/>
        </w:rPr>
        <w:t xml:space="preserve">banks </w:t>
      </w:r>
      <w:r>
        <w:rPr>
          <w:rFonts w:cs="Times New Roman"/>
        </w:rPr>
        <w:t xml:space="preserve">could be taking an extra cautious </w:t>
      </w:r>
      <w:r w:rsidR="002C231A">
        <w:rPr>
          <w:rFonts w:cs="Times New Roman"/>
        </w:rPr>
        <w:t xml:space="preserve">approach to hold excess liquidity to mitigate the possibility of needing funding, at punitive rates, from the central bank to settle their end of day ESA. </w:t>
      </w:r>
    </w:p>
    <w:p w14:paraId="6A197AC0" w14:textId="77777777" w:rsidR="00BB1669" w:rsidRPr="00570948" w:rsidRDefault="00BD2163" w:rsidP="00BD2163">
      <w:pPr>
        <w:pStyle w:val="ListParagraph"/>
        <w:widowControl w:val="0"/>
        <w:numPr>
          <w:ilvl w:val="0"/>
          <w:numId w:val="2"/>
        </w:numPr>
        <w:spacing w:after="240"/>
        <w:ind w:left="0" w:firstLine="0"/>
        <w:contextualSpacing w:val="0"/>
        <w:jc w:val="both"/>
        <w:rPr>
          <w:rFonts w:cs="Times New Roman"/>
          <w:i/>
          <w:u w:val="single"/>
        </w:rPr>
      </w:pPr>
      <w:r w:rsidRPr="00570948">
        <w:rPr>
          <w:rFonts w:cs="Times New Roman"/>
          <w:i/>
          <w:u w:val="single"/>
        </w:rPr>
        <w:t>Recommendations-</w:t>
      </w:r>
    </w:p>
    <w:p w14:paraId="6E8718A0" w14:textId="7EF62533" w:rsidR="00BB1669" w:rsidRDefault="00DC18A6" w:rsidP="00BB1669">
      <w:pPr>
        <w:pStyle w:val="ListParagraph"/>
        <w:widowControl w:val="0"/>
        <w:numPr>
          <w:ilvl w:val="0"/>
          <w:numId w:val="2"/>
        </w:numPr>
        <w:spacing w:after="240"/>
        <w:ind w:left="0" w:firstLine="0"/>
        <w:contextualSpacing w:val="0"/>
        <w:jc w:val="both"/>
        <w:rPr>
          <w:rFonts w:cs="Times New Roman"/>
        </w:rPr>
      </w:pPr>
      <w:r w:rsidRPr="00B03C11">
        <w:rPr>
          <w:rFonts w:cs="Times New Roman"/>
        </w:rPr>
        <w:t xml:space="preserve">The </w:t>
      </w:r>
      <w:r w:rsidR="00BB1669" w:rsidRPr="00B03C11">
        <w:rPr>
          <w:rFonts w:cs="Times New Roman"/>
        </w:rPr>
        <w:t>Master</w:t>
      </w:r>
      <w:r w:rsidR="00BB1669">
        <w:rPr>
          <w:rFonts w:cs="Times New Roman"/>
        </w:rPr>
        <w:t xml:space="preserve"> Repurchase Agreement</w:t>
      </w:r>
      <w:r w:rsidR="007646CC">
        <w:rPr>
          <w:rFonts w:cs="Times New Roman"/>
        </w:rPr>
        <w:t xml:space="preserve"> </w:t>
      </w:r>
      <w:r>
        <w:rPr>
          <w:rFonts w:cs="Times New Roman"/>
        </w:rPr>
        <w:t xml:space="preserve">draft </w:t>
      </w:r>
      <w:r w:rsidR="007646CC">
        <w:rPr>
          <w:rFonts w:cs="Times New Roman"/>
        </w:rPr>
        <w:t>that is currently under legal review</w:t>
      </w:r>
      <w:r w:rsidR="00017319">
        <w:rPr>
          <w:rFonts w:cs="Times New Roman"/>
        </w:rPr>
        <w:t xml:space="preserve">. </w:t>
      </w:r>
      <w:r w:rsidR="00CB30BA">
        <w:rPr>
          <w:rFonts w:cs="Times New Roman"/>
        </w:rPr>
        <w:t xml:space="preserve"> </w:t>
      </w:r>
      <w:r w:rsidR="00616014">
        <w:rPr>
          <w:rFonts w:cs="Times New Roman"/>
        </w:rPr>
        <w:t xml:space="preserve">The </w:t>
      </w:r>
      <w:r w:rsidR="00CB30BA">
        <w:rPr>
          <w:rFonts w:cs="Times New Roman"/>
        </w:rPr>
        <w:t>BPNG should p</w:t>
      </w:r>
      <w:r w:rsidR="00B03C11">
        <w:rPr>
          <w:rFonts w:cs="Times New Roman"/>
        </w:rPr>
        <w:t xml:space="preserve">romote the use of interbank repurchase transactions amongst banks and market participants. </w:t>
      </w:r>
    </w:p>
    <w:p w14:paraId="4FC89C26" w14:textId="77777777" w:rsidR="00D44808" w:rsidRDefault="00616014" w:rsidP="00BB1669">
      <w:pPr>
        <w:pStyle w:val="ListParagraph"/>
        <w:widowControl w:val="0"/>
        <w:numPr>
          <w:ilvl w:val="0"/>
          <w:numId w:val="2"/>
        </w:numPr>
        <w:spacing w:after="240"/>
        <w:ind w:left="0" w:firstLine="0"/>
        <w:contextualSpacing w:val="0"/>
        <w:jc w:val="both"/>
        <w:rPr>
          <w:rFonts w:cs="Times New Roman"/>
        </w:rPr>
      </w:pPr>
      <w:r>
        <w:rPr>
          <w:rFonts w:cs="Times New Roman"/>
        </w:rPr>
        <w:t xml:space="preserve">That </w:t>
      </w:r>
      <w:r w:rsidR="00D44808">
        <w:rPr>
          <w:rFonts w:cs="Times New Roman"/>
        </w:rPr>
        <w:t xml:space="preserve">BPNG will execute and promote the use of traditional repurchase transactions, secured, through the MRA in conducting </w:t>
      </w:r>
      <w:r w:rsidR="006617BA">
        <w:rPr>
          <w:rFonts w:cs="Times New Roman"/>
        </w:rPr>
        <w:t xml:space="preserve">the Bank’s </w:t>
      </w:r>
      <w:r w:rsidR="00D44808">
        <w:rPr>
          <w:rFonts w:cs="Times New Roman"/>
        </w:rPr>
        <w:t>open market operations</w:t>
      </w:r>
      <w:r w:rsidR="006617BA">
        <w:rPr>
          <w:rFonts w:cs="Times New Roman"/>
        </w:rPr>
        <w:t xml:space="preserve"> so </w:t>
      </w:r>
      <w:r>
        <w:rPr>
          <w:rFonts w:cs="Times New Roman"/>
        </w:rPr>
        <w:t xml:space="preserve">as </w:t>
      </w:r>
      <w:r w:rsidR="006617BA">
        <w:rPr>
          <w:rFonts w:cs="Times New Roman"/>
        </w:rPr>
        <w:t>to mitigate the Bank’s credit risk exposure.</w:t>
      </w:r>
    </w:p>
    <w:p w14:paraId="5E1B388B" w14:textId="43FE0ED6" w:rsidR="00B03C11" w:rsidRDefault="00616014" w:rsidP="00B03C11">
      <w:pPr>
        <w:pStyle w:val="ListParagraph"/>
        <w:widowControl w:val="0"/>
        <w:numPr>
          <w:ilvl w:val="0"/>
          <w:numId w:val="2"/>
        </w:numPr>
        <w:spacing w:after="240"/>
        <w:ind w:left="0" w:firstLine="0"/>
        <w:contextualSpacing w:val="0"/>
        <w:jc w:val="both"/>
        <w:rPr>
          <w:rFonts w:cs="Times New Roman"/>
        </w:rPr>
      </w:pPr>
      <w:r>
        <w:rPr>
          <w:rFonts w:cs="Times New Roman"/>
        </w:rPr>
        <w:lastRenderedPageBreak/>
        <w:t xml:space="preserve">That </w:t>
      </w:r>
      <w:r w:rsidR="00B03C11">
        <w:rPr>
          <w:rFonts w:cs="Times New Roman"/>
        </w:rPr>
        <w:t>BPNG e</w:t>
      </w:r>
      <w:r w:rsidR="00B03C11" w:rsidRPr="00B03C11">
        <w:rPr>
          <w:rFonts w:cs="Times New Roman"/>
        </w:rPr>
        <w:t>xamine margining, reserve requirements, accounting practices, and tax issues to</w:t>
      </w:r>
      <w:r w:rsidR="00B03C11">
        <w:rPr>
          <w:rFonts w:cs="Times New Roman"/>
        </w:rPr>
        <w:t xml:space="preserve"> </w:t>
      </w:r>
      <w:r w:rsidR="00B03C11" w:rsidRPr="00B03C11">
        <w:rPr>
          <w:rFonts w:cs="Times New Roman"/>
        </w:rPr>
        <w:t>ensure market so</w:t>
      </w:r>
      <w:r w:rsidR="00B03C11">
        <w:rPr>
          <w:rFonts w:cs="Times New Roman"/>
        </w:rPr>
        <w:t xml:space="preserve">undness and effectiveness. </w:t>
      </w:r>
      <w:r>
        <w:rPr>
          <w:rFonts w:cs="Times New Roman"/>
        </w:rPr>
        <w:t>The BPNG should also d</w:t>
      </w:r>
      <w:r w:rsidR="00B03C11">
        <w:rPr>
          <w:rFonts w:cs="Times New Roman"/>
        </w:rPr>
        <w:t>evelop and provide</w:t>
      </w:r>
      <w:r w:rsidR="00B03C11" w:rsidRPr="00B03C11">
        <w:rPr>
          <w:rFonts w:cs="Times New Roman"/>
        </w:rPr>
        <w:t xml:space="preserve"> guidelines to market participants on</w:t>
      </w:r>
      <w:r w:rsidR="00B03C11">
        <w:rPr>
          <w:rFonts w:cs="Times New Roman"/>
        </w:rPr>
        <w:t xml:space="preserve"> </w:t>
      </w:r>
      <w:r w:rsidR="00B03C11" w:rsidRPr="00B03C11">
        <w:rPr>
          <w:rFonts w:cs="Times New Roman"/>
        </w:rPr>
        <w:t>sound procedures for repurchase transactions.</w:t>
      </w:r>
    </w:p>
    <w:p w14:paraId="5555050F" w14:textId="77777777" w:rsidR="009109C5" w:rsidRDefault="00B03C11" w:rsidP="00B03C11">
      <w:pPr>
        <w:pStyle w:val="ListParagraph"/>
        <w:widowControl w:val="0"/>
        <w:numPr>
          <w:ilvl w:val="0"/>
          <w:numId w:val="2"/>
        </w:numPr>
        <w:spacing w:after="240"/>
        <w:ind w:left="0" w:firstLine="0"/>
        <w:contextualSpacing w:val="0"/>
        <w:jc w:val="both"/>
        <w:rPr>
          <w:rFonts w:cs="Times New Roman"/>
        </w:rPr>
      </w:pPr>
      <w:r>
        <w:rPr>
          <w:rFonts w:cs="Times New Roman"/>
        </w:rPr>
        <w:t>Interbank transactions should be disseminated</w:t>
      </w:r>
      <w:r w:rsidR="00CB30BA">
        <w:rPr>
          <w:rFonts w:cs="Times New Roman"/>
        </w:rPr>
        <w:t xml:space="preserve"> by </w:t>
      </w:r>
      <w:r w:rsidR="00616014">
        <w:rPr>
          <w:rFonts w:cs="Times New Roman"/>
        </w:rPr>
        <w:t xml:space="preserve">the </w:t>
      </w:r>
      <w:r w:rsidR="00CB30BA">
        <w:rPr>
          <w:rFonts w:cs="Times New Roman"/>
        </w:rPr>
        <w:t>BPNG</w:t>
      </w:r>
      <w:r>
        <w:rPr>
          <w:rFonts w:cs="Times New Roman"/>
        </w:rPr>
        <w:t>, in a practical time frame</w:t>
      </w:r>
      <w:r w:rsidR="009109C5" w:rsidRPr="00B03C11">
        <w:rPr>
          <w:rFonts w:cs="Times New Roman"/>
        </w:rPr>
        <w:t xml:space="preserve"> </w:t>
      </w:r>
      <w:r>
        <w:rPr>
          <w:rFonts w:cs="Times New Roman"/>
        </w:rPr>
        <w:t>given the volume, providing</w:t>
      </w:r>
      <w:r w:rsidR="009109C5" w:rsidRPr="00B03C11">
        <w:rPr>
          <w:rFonts w:cs="Times New Roman"/>
        </w:rPr>
        <w:t xml:space="preserve"> information for secured and unsecured</w:t>
      </w:r>
      <w:r>
        <w:rPr>
          <w:rFonts w:cs="Times New Roman"/>
        </w:rPr>
        <w:t xml:space="preserve"> interbank lending</w:t>
      </w:r>
      <w:r w:rsidR="009109C5" w:rsidRPr="00B03C11">
        <w:rPr>
          <w:rFonts w:cs="Times New Roman"/>
        </w:rPr>
        <w:t>.</w:t>
      </w:r>
    </w:p>
    <w:p w14:paraId="39B0051D" w14:textId="77777777" w:rsidR="00570948" w:rsidRPr="00570948" w:rsidRDefault="00616014" w:rsidP="00570948">
      <w:pPr>
        <w:pStyle w:val="ListParagraph"/>
        <w:widowControl w:val="0"/>
        <w:numPr>
          <w:ilvl w:val="0"/>
          <w:numId w:val="2"/>
        </w:numPr>
        <w:spacing w:after="240"/>
        <w:ind w:left="0" w:firstLine="0"/>
        <w:contextualSpacing w:val="0"/>
        <w:jc w:val="both"/>
        <w:rPr>
          <w:rFonts w:cs="Times New Roman"/>
        </w:rPr>
      </w:pPr>
      <w:r>
        <w:rPr>
          <w:rFonts w:cs="Times New Roman"/>
        </w:rPr>
        <w:t xml:space="preserve">That the </w:t>
      </w:r>
      <w:r w:rsidR="00570948">
        <w:rPr>
          <w:rFonts w:cs="Times New Roman"/>
        </w:rPr>
        <w:t xml:space="preserve">BPNG upgrade payment, custody, and settlement infrastructure to reduce the credit and </w:t>
      </w:r>
      <w:r w:rsidR="00570948" w:rsidRPr="00570948">
        <w:rPr>
          <w:rFonts w:cs="Times New Roman"/>
        </w:rPr>
        <w:t>operational risk of secondary market and interbank repurchase transactions</w:t>
      </w:r>
      <w:r w:rsidR="00FF1C80">
        <w:rPr>
          <w:rFonts w:cs="Times New Roman"/>
        </w:rPr>
        <w:t>.</w:t>
      </w:r>
    </w:p>
    <w:p w14:paraId="30C0FC42" w14:textId="77777777" w:rsidR="00AE4DD6" w:rsidRPr="003F04B9" w:rsidRDefault="00C65B05" w:rsidP="00C65B05">
      <w:pPr>
        <w:widowControl w:val="0"/>
        <w:spacing w:after="240"/>
        <w:jc w:val="center"/>
        <w:rPr>
          <w:rFonts w:cs="Times New Roman"/>
          <w:b/>
          <w:noProof/>
        </w:rPr>
      </w:pPr>
      <w:r>
        <w:rPr>
          <w:rFonts w:cs="Times New Roman"/>
          <w:b/>
          <w:noProof/>
        </w:rPr>
        <w:t>F</w:t>
      </w:r>
      <w:r w:rsidR="005A67B4" w:rsidRPr="003F04B9">
        <w:rPr>
          <w:rFonts w:cs="Times New Roman"/>
          <w:b/>
          <w:noProof/>
        </w:rPr>
        <w:t xml:space="preserve">. </w:t>
      </w:r>
      <w:r w:rsidR="00AE4DD6" w:rsidRPr="003F04B9">
        <w:rPr>
          <w:rFonts w:cs="Times New Roman"/>
          <w:b/>
          <w:noProof/>
        </w:rPr>
        <w:t>Primary Market</w:t>
      </w:r>
    </w:p>
    <w:p w14:paraId="769A37D4" w14:textId="0A987DA2" w:rsidR="0046519C" w:rsidRPr="003F04B9" w:rsidRDefault="0046519C" w:rsidP="00F04788">
      <w:pPr>
        <w:pStyle w:val="ListParagraph"/>
        <w:widowControl w:val="0"/>
        <w:numPr>
          <w:ilvl w:val="0"/>
          <w:numId w:val="2"/>
        </w:numPr>
        <w:spacing w:after="240"/>
        <w:ind w:left="0" w:firstLine="0"/>
        <w:contextualSpacing w:val="0"/>
        <w:jc w:val="both"/>
        <w:rPr>
          <w:rFonts w:cs="Times New Roman"/>
        </w:rPr>
      </w:pPr>
      <w:r w:rsidRPr="003F04B9">
        <w:rPr>
          <w:rFonts w:cs="Times New Roman"/>
        </w:rPr>
        <w:t>The Department of Treasury’s F</w:t>
      </w:r>
      <w:r w:rsidR="00616014">
        <w:rPr>
          <w:rFonts w:cs="Times New Roman"/>
        </w:rPr>
        <w:t xml:space="preserve">MD </w:t>
      </w:r>
      <w:r w:rsidRPr="003F04B9">
        <w:rPr>
          <w:rFonts w:cs="Times New Roman"/>
        </w:rPr>
        <w:t xml:space="preserve">is responsible for financing the central government’s funding needs domestically and externally. As mentioned previously, the central bank is </w:t>
      </w:r>
      <w:r w:rsidR="00616014">
        <w:rPr>
          <w:rFonts w:cs="Times New Roman"/>
        </w:rPr>
        <w:t>sole</w:t>
      </w:r>
      <w:r w:rsidRPr="003F04B9">
        <w:rPr>
          <w:rFonts w:cs="Times New Roman"/>
        </w:rPr>
        <w:t xml:space="preserve"> fiscal agent to conduct primary auctions and the allocations of tenders awarded. The responsibility for the authorization of the auction allocations is with the Financ</w:t>
      </w:r>
      <w:r w:rsidR="00843DD2">
        <w:rPr>
          <w:rFonts w:cs="Times New Roman"/>
        </w:rPr>
        <w:t xml:space="preserve">ial Management Division and FMD’s </w:t>
      </w:r>
      <w:r w:rsidRPr="003F04B9">
        <w:rPr>
          <w:rFonts w:cs="Times New Roman"/>
        </w:rPr>
        <w:t xml:space="preserve">First Assistant Secretary (FAS). An alternate from the division is assigned in the event of </w:t>
      </w:r>
      <w:r w:rsidR="00616014">
        <w:rPr>
          <w:rFonts w:cs="Times New Roman"/>
        </w:rPr>
        <w:t xml:space="preserve">the </w:t>
      </w:r>
      <w:r w:rsidRPr="003F04B9">
        <w:rPr>
          <w:rFonts w:cs="Times New Roman"/>
        </w:rPr>
        <w:t>absence of the FAS.</w:t>
      </w:r>
    </w:p>
    <w:p w14:paraId="12F68961" w14:textId="081B26EB" w:rsidR="008B3D04" w:rsidRPr="00CD750D" w:rsidRDefault="00F111C6" w:rsidP="008B3D04">
      <w:pPr>
        <w:pStyle w:val="ListParagraph"/>
        <w:widowControl w:val="0"/>
        <w:numPr>
          <w:ilvl w:val="0"/>
          <w:numId w:val="2"/>
        </w:numPr>
        <w:spacing w:after="240"/>
        <w:ind w:left="0" w:firstLine="0"/>
        <w:contextualSpacing w:val="0"/>
        <w:jc w:val="both"/>
        <w:rPr>
          <w:rFonts w:cs="Times New Roman"/>
        </w:rPr>
      </w:pPr>
      <w:r w:rsidRPr="003F04B9">
        <w:rPr>
          <w:rFonts w:cs="Times New Roman"/>
        </w:rPr>
        <w:t>The p</w:t>
      </w:r>
      <w:r w:rsidR="0046519C" w:rsidRPr="003F04B9">
        <w:rPr>
          <w:rFonts w:cs="Times New Roman"/>
        </w:rPr>
        <w:t xml:space="preserve">lanning of the government’s </w:t>
      </w:r>
      <w:r w:rsidRPr="003F04B9">
        <w:rPr>
          <w:rFonts w:cs="Times New Roman"/>
        </w:rPr>
        <w:t xml:space="preserve">debt </w:t>
      </w:r>
      <w:r w:rsidR="0046519C" w:rsidRPr="003F04B9">
        <w:rPr>
          <w:rFonts w:cs="Times New Roman"/>
        </w:rPr>
        <w:t>issuance strategy</w:t>
      </w:r>
      <w:r w:rsidRPr="003F04B9">
        <w:rPr>
          <w:rFonts w:cs="Times New Roman"/>
        </w:rPr>
        <w:t xml:space="preserve"> is executed by FMD. U</w:t>
      </w:r>
      <w:r w:rsidR="005D7470" w:rsidRPr="003F04B9">
        <w:rPr>
          <w:rFonts w:cs="Times New Roman"/>
        </w:rPr>
        <w:t xml:space="preserve">pon passage of the National Budget, usually in November, </w:t>
      </w:r>
      <w:r w:rsidR="0046519C" w:rsidRPr="003F04B9">
        <w:rPr>
          <w:rFonts w:cs="Times New Roman"/>
        </w:rPr>
        <w:t>t</w:t>
      </w:r>
      <w:r w:rsidRPr="003F04B9">
        <w:rPr>
          <w:rFonts w:cs="Times New Roman"/>
        </w:rPr>
        <w:t>he FMD</w:t>
      </w:r>
      <w:r w:rsidR="0046519C" w:rsidRPr="003F04B9">
        <w:rPr>
          <w:rFonts w:cs="Times New Roman"/>
        </w:rPr>
        <w:t xml:space="preserve"> announces and publishes</w:t>
      </w:r>
      <w:r w:rsidR="005D7470" w:rsidRPr="003F04B9">
        <w:rPr>
          <w:rFonts w:cs="Times New Roman"/>
        </w:rPr>
        <w:t xml:space="preserve">, generally in February, the “Annual Debt Issuance Plan Update”. The annual </w:t>
      </w:r>
      <w:r w:rsidR="00843DD2">
        <w:rPr>
          <w:rFonts w:cs="Times New Roman"/>
        </w:rPr>
        <w:t xml:space="preserve">plan </w:t>
      </w:r>
      <w:r w:rsidR="005D7470" w:rsidRPr="003F04B9">
        <w:rPr>
          <w:rFonts w:cs="Times New Roman"/>
        </w:rPr>
        <w:t xml:space="preserve">is an </w:t>
      </w:r>
      <w:r w:rsidR="0046519C" w:rsidRPr="003F04B9">
        <w:rPr>
          <w:rFonts w:cs="Times New Roman"/>
        </w:rPr>
        <w:t>indicative aggregate</w:t>
      </w:r>
      <w:r w:rsidR="005D7470" w:rsidRPr="003F04B9">
        <w:rPr>
          <w:rFonts w:cs="Times New Roman"/>
        </w:rPr>
        <w:t xml:space="preserve"> borrowing</w:t>
      </w:r>
      <w:r w:rsidRPr="003F04B9">
        <w:rPr>
          <w:rFonts w:cs="Times New Roman"/>
        </w:rPr>
        <w:t xml:space="preserve"> for T-bills, </w:t>
      </w:r>
      <w:r w:rsidR="00843DD2">
        <w:rPr>
          <w:rFonts w:cs="Times New Roman"/>
        </w:rPr>
        <w:t xml:space="preserve">Government </w:t>
      </w:r>
      <w:r w:rsidR="0046519C" w:rsidRPr="003F04B9">
        <w:rPr>
          <w:rFonts w:cs="Times New Roman"/>
        </w:rPr>
        <w:t>Inscribed Stock</w:t>
      </w:r>
      <w:r w:rsidR="00843DD2">
        <w:rPr>
          <w:rFonts w:cs="Times New Roman"/>
        </w:rPr>
        <w:t xml:space="preserve"> (GIS)</w:t>
      </w:r>
      <w:r w:rsidRPr="003F04B9">
        <w:rPr>
          <w:rFonts w:cs="Times New Roman"/>
        </w:rPr>
        <w:t xml:space="preserve">, and </w:t>
      </w:r>
      <w:r w:rsidR="00696C52" w:rsidRPr="003F04B9">
        <w:rPr>
          <w:rFonts w:cs="Times New Roman"/>
        </w:rPr>
        <w:t xml:space="preserve">any </w:t>
      </w:r>
      <w:r w:rsidRPr="003F04B9">
        <w:rPr>
          <w:rFonts w:cs="Times New Roman"/>
        </w:rPr>
        <w:t>potential external issuance in the international capital markets</w:t>
      </w:r>
      <w:r w:rsidR="0046519C" w:rsidRPr="003F04B9">
        <w:rPr>
          <w:rFonts w:cs="Times New Roman"/>
        </w:rPr>
        <w:t xml:space="preserve">. </w:t>
      </w:r>
      <w:r w:rsidRPr="003F04B9">
        <w:rPr>
          <w:rFonts w:cs="Times New Roman"/>
        </w:rPr>
        <w:t xml:space="preserve">The announcement for both T-bills and </w:t>
      </w:r>
      <w:r w:rsidR="00843DD2">
        <w:rPr>
          <w:rFonts w:cs="Times New Roman"/>
        </w:rPr>
        <w:t>G</w:t>
      </w:r>
      <w:r w:rsidRPr="003F04B9">
        <w:rPr>
          <w:rFonts w:cs="Times New Roman"/>
        </w:rPr>
        <w:t>IS provides: (</w:t>
      </w:r>
      <w:proofErr w:type="spellStart"/>
      <w:r w:rsidRPr="003F04B9">
        <w:rPr>
          <w:rFonts w:cs="Times New Roman"/>
        </w:rPr>
        <w:t>i</w:t>
      </w:r>
      <w:proofErr w:type="spellEnd"/>
      <w:r w:rsidRPr="003F04B9">
        <w:rPr>
          <w:rFonts w:cs="Times New Roman"/>
        </w:rPr>
        <w:t xml:space="preserve">) ending aggregate balance of </w:t>
      </w:r>
      <w:r w:rsidR="00696C52" w:rsidRPr="003F04B9">
        <w:rPr>
          <w:rFonts w:cs="Times New Roman"/>
        </w:rPr>
        <w:t>outstanding stock</w:t>
      </w:r>
      <w:r w:rsidRPr="003F04B9">
        <w:rPr>
          <w:rFonts w:cs="Times New Roman"/>
        </w:rPr>
        <w:t xml:space="preserve"> as of December 31 of the previous fiscal year; (ii) </w:t>
      </w:r>
      <w:r w:rsidR="00696C52" w:rsidRPr="003F04B9">
        <w:rPr>
          <w:rFonts w:cs="Times New Roman"/>
        </w:rPr>
        <w:t xml:space="preserve">aggregate amount of repayment / refinancing: (ii) aggregate new debt issuance; (iv) the projected aggregate balance at the end of the current fiscal year; and (v) net changes to the outstanding balance for T-bills and </w:t>
      </w:r>
      <w:r w:rsidR="00616014">
        <w:rPr>
          <w:rFonts w:cs="Times New Roman"/>
        </w:rPr>
        <w:t>G</w:t>
      </w:r>
      <w:r w:rsidR="00696C52" w:rsidRPr="003F04B9">
        <w:rPr>
          <w:rFonts w:cs="Times New Roman"/>
        </w:rPr>
        <w:t>IS.</w:t>
      </w:r>
      <w:r w:rsidR="00843DD2">
        <w:rPr>
          <w:rFonts w:cs="Times New Roman"/>
        </w:rPr>
        <w:t xml:space="preserve"> Table 2</w:t>
      </w:r>
      <w:r w:rsidR="006B2AF8">
        <w:rPr>
          <w:rFonts w:cs="Times New Roman"/>
        </w:rPr>
        <w:t xml:space="preserve"> provides </w:t>
      </w:r>
      <w:r w:rsidR="00843DD2">
        <w:rPr>
          <w:rFonts w:cs="Times New Roman"/>
        </w:rPr>
        <w:t xml:space="preserve">the </w:t>
      </w:r>
      <w:r w:rsidR="006B2AF8">
        <w:rPr>
          <w:rFonts w:cs="Times New Roman"/>
        </w:rPr>
        <w:t>a</w:t>
      </w:r>
      <w:r w:rsidR="00843DD2">
        <w:rPr>
          <w:rFonts w:cs="Times New Roman"/>
        </w:rPr>
        <w:t>ctual</w:t>
      </w:r>
      <w:r w:rsidR="006B2AF8">
        <w:rPr>
          <w:rFonts w:cs="Times New Roman"/>
        </w:rPr>
        <w:t xml:space="preserve"> summary of FMD’s repayments and issuances for 2015.</w:t>
      </w:r>
    </w:p>
    <w:p w14:paraId="2363895D" w14:textId="77777777" w:rsidR="00D64C6C" w:rsidRPr="00A75B58" w:rsidRDefault="001A4928" w:rsidP="00D64C6C">
      <w:pPr>
        <w:widowControl w:val="0"/>
        <w:spacing w:after="240"/>
        <w:jc w:val="both"/>
        <w:rPr>
          <w:rFonts w:cs="Times New Roman"/>
          <w:u w:val="single"/>
        </w:rPr>
      </w:pPr>
      <w:r>
        <w:rPr>
          <w:rFonts w:cs="Times New Roman"/>
          <w:b/>
          <w:u w:val="single"/>
        </w:rPr>
        <w:t>Table 2:</w:t>
      </w:r>
      <w:r w:rsidR="00D64C6C" w:rsidRPr="00A75B58">
        <w:rPr>
          <w:rFonts w:cs="Times New Roman"/>
          <w:u w:val="single"/>
        </w:rPr>
        <w:t xml:space="preserve"> </w:t>
      </w:r>
      <w:r w:rsidR="00D64C6C" w:rsidRPr="00A75B58">
        <w:rPr>
          <w:rFonts w:cs="Times New Roman"/>
          <w:b/>
          <w:u w:val="single"/>
        </w:rPr>
        <w:t>Summary of Repayments &amp; New Issuance during 2015 (Kina millions)</w:t>
      </w:r>
    </w:p>
    <w:tbl>
      <w:tblPr>
        <w:tblStyle w:val="TableGrid"/>
        <w:tblW w:w="0" w:type="auto"/>
        <w:tblLayout w:type="fixed"/>
        <w:tblLook w:val="04A0" w:firstRow="1" w:lastRow="0" w:firstColumn="1" w:lastColumn="0" w:noHBand="0" w:noVBand="1"/>
      </w:tblPr>
      <w:tblGrid>
        <w:gridCol w:w="2080"/>
        <w:gridCol w:w="1358"/>
        <w:gridCol w:w="1440"/>
        <w:gridCol w:w="1170"/>
        <w:gridCol w:w="1350"/>
        <w:gridCol w:w="1458"/>
      </w:tblGrid>
      <w:tr w:rsidR="00BF0C38" w14:paraId="3A5A5008" w14:textId="77777777" w:rsidTr="00D64C6C">
        <w:tc>
          <w:tcPr>
            <w:tcW w:w="2080" w:type="dxa"/>
            <w:vAlign w:val="center"/>
          </w:tcPr>
          <w:p w14:paraId="3C9983C3" w14:textId="77777777" w:rsidR="00BF0C38" w:rsidRPr="00151A9F" w:rsidRDefault="00BF0C38" w:rsidP="00BF0C38">
            <w:pPr>
              <w:pStyle w:val="ListParagraph"/>
              <w:widowControl w:val="0"/>
              <w:spacing w:after="24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Financing Source</w:t>
            </w:r>
          </w:p>
        </w:tc>
        <w:tc>
          <w:tcPr>
            <w:tcW w:w="1358" w:type="dxa"/>
            <w:vAlign w:val="center"/>
          </w:tcPr>
          <w:p w14:paraId="6860948C" w14:textId="77777777" w:rsidR="00BF0C38" w:rsidRPr="00151A9F" w:rsidRDefault="00BF0C38" w:rsidP="00BF0C38">
            <w:pPr>
              <w:pStyle w:val="ListParagraph"/>
              <w:widowControl w:val="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Balance</w:t>
            </w:r>
          </w:p>
          <w:p w14:paraId="5C2FAE5A" w14:textId="77777777" w:rsidR="00BF0C38" w:rsidRPr="00151A9F" w:rsidRDefault="00BF0C38" w:rsidP="00BF0C38">
            <w:pPr>
              <w:pStyle w:val="ListParagraph"/>
              <w:widowControl w:val="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31 Dec 14</w:t>
            </w:r>
          </w:p>
        </w:tc>
        <w:tc>
          <w:tcPr>
            <w:tcW w:w="1440" w:type="dxa"/>
            <w:vAlign w:val="center"/>
          </w:tcPr>
          <w:p w14:paraId="2C409753" w14:textId="77777777" w:rsidR="00BF0C38" w:rsidRPr="00151A9F" w:rsidRDefault="00BF0C38" w:rsidP="00BF0C38">
            <w:pPr>
              <w:pStyle w:val="ListParagraph"/>
              <w:widowControl w:val="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Repayment</w:t>
            </w:r>
          </w:p>
          <w:p w14:paraId="44FA22D2" w14:textId="77777777" w:rsidR="00BF0C38" w:rsidRPr="00151A9F" w:rsidRDefault="00BF0C38" w:rsidP="00BF0C38">
            <w:pPr>
              <w:pStyle w:val="ListParagraph"/>
              <w:widowControl w:val="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2015</w:t>
            </w:r>
          </w:p>
        </w:tc>
        <w:tc>
          <w:tcPr>
            <w:tcW w:w="1170" w:type="dxa"/>
            <w:vAlign w:val="center"/>
          </w:tcPr>
          <w:p w14:paraId="4B1699B2" w14:textId="77777777" w:rsidR="00BF0C38" w:rsidRPr="00151A9F" w:rsidRDefault="00BF0C38" w:rsidP="00BF0C38">
            <w:pPr>
              <w:pStyle w:val="ListParagraph"/>
              <w:widowControl w:val="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New</w:t>
            </w:r>
          </w:p>
          <w:p w14:paraId="3D131F7A" w14:textId="77777777" w:rsidR="00BF0C38" w:rsidRPr="00151A9F" w:rsidRDefault="00BF0C38" w:rsidP="00BF0C38">
            <w:pPr>
              <w:pStyle w:val="ListParagraph"/>
              <w:widowControl w:val="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Issuance</w:t>
            </w:r>
          </w:p>
        </w:tc>
        <w:tc>
          <w:tcPr>
            <w:tcW w:w="1350" w:type="dxa"/>
            <w:vAlign w:val="center"/>
          </w:tcPr>
          <w:p w14:paraId="21AB4EAF" w14:textId="77777777" w:rsidR="00BF0C38" w:rsidRPr="00151A9F" w:rsidRDefault="00BF0C38" w:rsidP="00BF0C38">
            <w:pPr>
              <w:pStyle w:val="ListParagraph"/>
              <w:widowControl w:val="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Projected</w:t>
            </w:r>
          </w:p>
          <w:p w14:paraId="43F64E5D" w14:textId="77777777" w:rsidR="00BF0C38" w:rsidRPr="00151A9F" w:rsidRDefault="00BF0C38" w:rsidP="00BF0C38">
            <w:pPr>
              <w:pStyle w:val="ListParagraph"/>
              <w:widowControl w:val="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Balance</w:t>
            </w:r>
          </w:p>
          <w:p w14:paraId="5B2927DD" w14:textId="77777777" w:rsidR="00BF0C38" w:rsidRPr="00151A9F" w:rsidRDefault="00BF0C38" w:rsidP="00BF0C38">
            <w:pPr>
              <w:pStyle w:val="ListParagraph"/>
              <w:widowControl w:val="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31 Dec 15</w:t>
            </w:r>
          </w:p>
        </w:tc>
        <w:tc>
          <w:tcPr>
            <w:tcW w:w="1458" w:type="dxa"/>
            <w:vAlign w:val="center"/>
          </w:tcPr>
          <w:p w14:paraId="54EB4092" w14:textId="77777777" w:rsidR="00BF0C38" w:rsidRPr="00151A9F" w:rsidRDefault="00BF0C38" w:rsidP="00BF0C38">
            <w:pPr>
              <w:pStyle w:val="ListParagraph"/>
              <w:widowControl w:val="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Net Change</w:t>
            </w:r>
          </w:p>
          <w:p w14:paraId="60190178" w14:textId="77777777" w:rsidR="00BF0C38" w:rsidRPr="00151A9F" w:rsidRDefault="00BF0C38" w:rsidP="00BF0C38">
            <w:pPr>
              <w:pStyle w:val="ListParagraph"/>
              <w:widowControl w:val="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2015</w:t>
            </w:r>
          </w:p>
        </w:tc>
      </w:tr>
      <w:tr w:rsidR="00BF0C38" w14:paraId="5850BF3E" w14:textId="77777777" w:rsidTr="00151A9F">
        <w:trPr>
          <w:trHeight w:val="2096"/>
        </w:trPr>
        <w:tc>
          <w:tcPr>
            <w:tcW w:w="2080" w:type="dxa"/>
          </w:tcPr>
          <w:p w14:paraId="35BD0AEA" w14:textId="77777777" w:rsidR="00BF0C38" w:rsidRPr="00151A9F" w:rsidRDefault="00BF0C38" w:rsidP="00BF0C38">
            <w:pPr>
              <w:pStyle w:val="ListParagraph"/>
              <w:widowControl w:val="0"/>
              <w:ind w:left="0"/>
              <w:contextualSpacing w:val="0"/>
              <w:jc w:val="both"/>
              <w:rPr>
                <w:rFonts w:ascii="Times New Roman" w:eastAsiaTheme="minorEastAsia" w:hAnsi="Times New Roman" w:cs="Times New Roman"/>
                <w:sz w:val="22"/>
                <w:szCs w:val="22"/>
                <w:lang w:eastAsia="ja-JP"/>
              </w:rPr>
            </w:pPr>
            <w:r w:rsidRPr="00151A9F">
              <w:rPr>
                <w:rFonts w:ascii="Times New Roman" w:eastAsiaTheme="minorEastAsia" w:hAnsi="Times New Roman" w:cs="Times New Roman"/>
                <w:sz w:val="22"/>
                <w:szCs w:val="22"/>
                <w:lang w:eastAsia="ja-JP"/>
              </w:rPr>
              <w:t>T-bills</w:t>
            </w:r>
          </w:p>
          <w:p w14:paraId="30587BD7" w14:textId="1718577E" w:rsidR="00BF0C38" w:rsidRPr="00151A9F" w:rsidRDefault="00616014" w:rsidP="00BF0C38">
            <w:pPr>
              <w:pStyle w:val="ListParagraph"/>
              <w:widowControl w:val="0"/>
              <w:ind w:left="0"/>
              <w:contextualSpacing w:val="0"/>
              <w:jc w:val="both"/>
              <w:rPr>
                <w:rFonts w:ascii="Times New Roman" w:eastAsiaTheme="minorEastAsia" w:hAnsi="Times New Roman" w:cs="Times New Roman"/>
                <w:sz w:val="22"/>
                <w:szCs w:val="22"/>
                <w:lang w:eastAsia="ja-JP"/>
              </w:rPr>
            </w:pPr>
            <w:r>
              <w:rPr>
                <w:rFonts w:ascii="Times New Roman" w:eastAsiaTheme="minorEastAsia" w:hAnsi="Times New Roman" w:cs="Times New Roman"/>
                <w:sz w:val="22"/>
                <w:szCs w:val="22"/>
                <w:lang w:eastAsia="ja-JP"/>
              </w:rPr>
              <w:t>GIS</w:t>
            </w:r>
          </w:p>
          <w:p w14:paraId="4D93AFDC" w14:textId="77777777" w:rsidR="00BF0C38" w:rsidRPr="00151A9F" w:rsidRDefault="00BF0C38" w:rsidP="00BF0C38">
            <w:pPr>
              <w:pStyle w:val="ListParagraph"/>
              <w:widowControl w:val="0"/>
              <w:spacing w:after="240"/>
              <w:ind w:left="0"/>
              <w:contextualSpacing w:val="0"/>
              <w:jc w:val="both"/>
              <w:rPr>
                <w:rFonts w:ascii="Times New Roman" w:eastAsiaTheme="minorEastAsia" w:hAnsi="Times New Roman" w:cs="Times New Roman"/>
                <w:sz w:val="22"/>
                <w:szCs w:val="22"/>
                <w:lang w:eastAsia="ja-JP"/>
              </w:rPr>
            </w:pPr>
            <w:r w:rsidRPr="00151A9F">
              <w:rPr>
                <w:rFonts w:ascii="Times New Roman" w:eastAsiaTheme="minorEastAsia" w:hAnsi="Times New Roman" w:cs="Times New Roman"/>
                <w:b/>
                <w:sz w:val="22"/>
                <w:szCs w:val="22"/>
                <w:lang w:eastAsia="ja-JP"/>
              </w:rPr>
              <w:t>Domestic Debt</w:t>
            </w:r>
          </w:p>
          <w:p w14:paraId="35CE7313" w14:textId="77777777" w:rsidR="00BF0C38" w:rsidRPr="00151A9F" w:rsidRDefault="00BF0C38" w:rsidP="00D64C6C">
            <w:pPr>
              <w:pStyle w:val="ListParagraph"/>
              <w:widowControl w:val="0"/>
              <w:ind w:left="0"/>
              <w:contextualSpacing w:val="0"/>
              <w:jc w:val="both"/>
              <w:rPr>
                <w:rFonts w:ascii="Times New Roman" w:eastAsiaTheme="minorEastAsia" w:hAnsi="Times New Roman" w:cs="Times New Roman"/>
                <w:sz w:val="22"/>
                <w:szCs w:val="22"/>
                <w:lang w:eastAsia="ja-JP"/>
              </w:rPr>
            </w:pPr>
            <w:r w:rsidRPr="00151A9F">
              <w:rPr>
                <w:rFonts w:ascii="Times New Roman" w:eastAsiaTheme="minorEastAsia" w:hAnsi="Times New Roman" w:cs="Times New Roman"/>
                <w:sz w:val="22"/>
                <w:szCs w:val="22"/>
                <w:lang w:eastAsia="ja-JP"/>
              </w:rPr>
              <w:t>International Agencies</w:t>
            </w:r>
          </w:p>
          <w:p w14:paraId="4C2165CF" w14:textId="77777777" w:rsidR="00D64C6C" w:rsidRPr="00151A9F" w:rsidRDefault="00D64C6C" w:rsidP="00D64C6C">
            <w:pPr>
              <w:pStyle w:val="ListParagraph"/>
              <w:widowControl w:val="0"/>
              <w:ind w:left="0"/>
              <w:contextualSpacing w:val="0"/>
              <w:jc w:val="both"/>
              <w:rPr>
                <w:rFonts w:ascii="Times New Roman" w:eastAsiaTheme="minorEastAsia" w:hAnsi="Times New Roman" w:cs="Times New Roman"/>
                <w:sz w:val="22"/>
                <w:szCs w:val="22"/>
                <w:lang w:eastAsia="ja-JP"/>
              </w:rPr>
            </w:pPr>
            <w:r w:rsidRPr="00151A9F">
              <w:rPr>
                <w:rFonts w:ascii="Times New Roman" w:eastAsiaTheme="minorEastAsia" w:hAnsi="Times New Roman" w:cs="Times New Roman"/>
                <w:sz w:val="22"/>
                <w:szCs w:val="22"/>
                <w:lang w:eastAsia="ja-JP"/>
              </w:rPr>
              <w:t>Sovereign Bond</w:t>
            </w:r>
          </w:p>
          <w:p w14:paraId="384BA219" w14:textId="77777777" w:rsidR="00D64C6C" w:rsidRPr="00151A9F" w:rsidRDefault="00D64C6C" w:rsidP="00D64C6C">
            <w:pPr>
              <w:pStyle w:val="ListParagraph"/>
              <w:widowControl w:val="0"/>
              <w:ind w:left="0"/>
              <w:contextualSpacing w:val="0"/>
              <w:jc w:val="both"/>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External Debt</w:t>
            </w:r>
          </w:p>
        </w:tc>
        <w:tc>
          <w:tcPr>
            <w:tcW w:w="1358" w:type="dxa"/>
          </w:tcPr>
          <w:p w14:paraId="48966223" w14:textId="77777777" w:rsidR="00BF0C38" w:rsidRPr="00151A9F" w:rsidRDefault="00BF0C38" w:rsidP="00BF0C38">
            <w:pPr>
              <w:pStyle w:val="ListParagraph"/>
              <w:widowControl w:val="0"/>
              <w:ind w:left="0"/>
              <w:contextualSpacing w:val="0"/>
              <w:jc w:val="center"/>
              <w:rPr>
                <w:rFonts w:ascii="Times New Roman" w:eastAsiaTheme="minorEastAsia" w:hAnsi="Times New Roman" w:cs="Times New Roman"/>
                <w:sz w:val="22"/>
                <w:szCs w:val="22"/>
                <w:lang w:eastAsia="ja-JP"/>
              </w:rPr>
            </w:pPr>
            <w:r w:rsidRPr="00151A9F">
              <w:rPr>
                <w:rFonts w:ascii="Times New Roman" w:eastAsiaTheme="minorEastAsia" w:hAnsi="Times New Roman" w:cs="Times New Roman"/>
                <w:sz w:val="22"/>
                <w:szCs w:val="22"/>
                <w:lang w:eastAsia="ja-JP"/>
              </w:rPr>
              <w:t>5,620.6</w:t>
            </w:r>
          </w:p>
          <w:p w14:paraId="4C3FB660" w14:textId="77777777" w:rsidR="00BF0C38" w:rsidRPr="00151A9F" w:rsidRDefault="00BF0C38" w:rsidP="00BF0C38">
            <w:pPr>
              <w:pStyle w:val="ListParagraph"/>
              <w:widowControl w:val="0"/>
              <w:ind w:left="0"/>
              <w:contextualSpacing w:val="0"/>
              <w:jc w:val="center"/>
              <w:rPr>
                <w:rFonts w:ascii="Times New Roman" w:eastAsiaTheme="minorEastAsia" w:hAnsi="Times New Roman" w:cs="Times New Roman"/>
                <w:sz w:val="22"/>
                <w:szCs w:val="22"/>
                <w:lang w:eastAsia="ja-JP"/>
              </w:rPr>
            </w:pPr>
            <w:r w:rsidRPr="00151A9F">
              <w:rPr>
                <w:rFonts w:ascii="Times New Roman" w:eastAsiaTheme="minorEastAsia" w:hAnsi="Times New Roman" w:cs="Times New Roman"/>
                <w:sz w:val="22"/>
                <w:szCs w:val="22"/>
                <w:lang w:eastAsia="ja-JP"/>
              </w:rPr>
              <w:t>6,207.8</w:t>
            </w:r>
          </w:p>
          <w:p w14:paraId="43445CAA" w14:textId="77777777" w:rsidR="00BF0C38" w:rsidRPr="00151A9F" w:rsidRDefault="00BF0C38" w:rsidP="00BF0C38">
            <w:pPr>
              <w:pStyle w:val="ListParagraph"/>
              <w:widowControl w:val="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11,828.3</w:t>
            </w:r>
          </w:p>
          <w:p w14:paraId="30A3ACCB" w14:textId="77777777" w:rsidR="00D64C6C" w:rsidRPr="00151A9F" w:rsidRDefault="00D64C6C" w:rsidP="00BF0C38">
            <w:pPr>
              <w:pStyle w:val="ListParagraph"/>
              <w:widowControl w:val="0"/>
              <w:ind w:left="0"/>
              <w:contextualSpacing w:val="0"/>
              <w:jc w:val="center"/>
              <w:rPr>
                <w:rFonts w:ascii="Times New Roman" w:eastAsiaTheme="minorEastAsia" w:hAnsi="Times New Roman" w:cs="Times New Roman"/>
                <w:b/>
                <w:sz w:val="22"/>
                <w:szCs w:val="22"/>
                <w:lang w:eastAsia="ja-JP"/>
              </w:rPr>
            </w:pPr>
          </w:p>
          <w:p w14:paraId="1228A2B8" w14:textId="77777777" w:rsidR="00D64C6C" w:rsidRPr="00151A9F" w:rsidRDefault="00D64C6C" w:rsidP="00BF0C38">
            <w:pPr>
              <w:pStyle w:val="ListParagraph"/>
              <w:widowControl w:val="0"/>
              <w:ind w:left="0"/>
              <w:contextualSpacing w:val="0"/>
              <w:jc w:val="center"/>
              <w:rPr>
                <w:rFonts w:ascii="Times New Roman" w:eastAsiaTheme="minorEastAsia" w:hAnsi="Times New Roman" w:cs="Times New Roman"/>
                <w:sz w:val="22"/>
                <w:szCs w:val="22"/>
                <w:lang w:eastAsia="ja-JP"/>
              </w:rPr>
            </w:pPr>
            <w:r w:rsidRPr="00151A9F">
              <w:rPr>
                <w:rFonts w:ascii="Times New Roman" w:eastAsiaTheme="minorEastAsia" w:hAnsi="Times New Roman" w:cs="Times New Roman"/>
                <w:sz w:val="22"/>
                <w:szCs w:val="22"/>
                <w:lang w:eastAsia="ja-JP"/>
              </w:rPr>
              <w:t>3,460.7</w:t>
            </w:r>
          </w:p>
          <w:p w14:paraId="3BF71E72" w14:textId="77777777" w:rsidR="00D64C6C" w:rsidRPr="00151A9F" w:rsidRDefault="00D64C6C" w:rsidP="00BF0C38">
            <w:pPr>
              <w:pStyle w:val="ListParagraph"/>
              <w:widowControl w:val="0"/>
              <w:ind w:left="0"/>
              <w:contextualSpacing w:val="0"/>
              <w:jc w:val="center"/>
              <w:rPr>
                <w:rFonts w:ascii="Times New Roman" w:eastAsiaTheme="minorEastAsia" w:hAnsi="Times New Roman" w:cs="Times New Roman"/>
                <w:sz w:val="22"/>
                <w:szCs w:val="22"/>
                <w:lang w:eastAsia="ja-JP"/>
              </w:rPr>
            </w:pPr>
          </w:p>
          <w:p w14:paraId="1257DEB2" w14:textId="77777777" w:rsidR="00D64C6C" w:rsidRPr="00151A9F" w:rsidRDefault="00D64C6C" w:rsidP="00BF0C38">
            <w:pPr>
              <w:pStyle w:val="ListParagraph"/>
              <w:widowControl w:val="0"/>
              <w:ind w:left="0"/>
              <w:contextualSpacing w:val="0"/>
              <w:jc w:val="center"/>
              <w:rPr>
                <w:rFonts w:ascii="Times New Roman" w:eastAsiaTheme="minorEastAsia" w:hAnsi="Times New Roman" w:cs="Times New Roman"/>
                <w:sz w:val="22"/>
                <w:szCs w:val="22"/>
                <w:lang w:eastAsia="ja-JP"/>
              </w:rPr>
            </w:pPr>
            <w:r w:rsidRPr="00151A9F">
              <w:rPr>
                <w:rFonts w:ascii="Times New Roman" w:eastAsiaTheme="minorEastAsia" w:hAnsi="Times New Roman" w:cs="Times New Roman"/>
                <w:sz w:val="22"/>
                <w:szCs w:val="22"/>
                <w:lang w:eastAsia="ja-JP"/>
              </w:rPr>
              <w:t>0.0</w:t>
            </w:r>
          </w:p>
          <w:p w14:paraId="50071FFD" w14:textId="77777777" w:rsidR="00D64C6C" w:rsidRPr="00151A9F" w:rsidRDefault="00D64C6C" w:rsidP="00BF0C38">
            <w:pPr>
              <w:pStyle w:val="ListParagraph"/>
              <w:widowControl w:val="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3,460</w:t>
            </w:r>
          </w:p>
        </w:tc>
        <w:tc>
          <w:tcPr>
            <w:tcW w:w="1440" w:type="dxa"/>
          </w:tcPr>
          <w:p w14:paraId="3C631822" w14:textId="77777777" w:rsidR="00BF0C38" w:rsidRPr="00151A9F" w:rsidRDefault="00BF0C38" w:rsidP="00BF0C38">
            <w:pPr>
              <w:pStyle w:val="ListParagraph"/>
              <w:widowControl w:val="0"/>
              <w:ind w:left="0"/>
              <w:contextualSpacing w:val="0"/>
              <w:jc w:val="center"/>
              <w:rPr>
                <w:rFonts w:ascii="Times New Roman" w:eastAsiaTheme="minorEastAsia" w:hAnsi="Times New Roman" w:cs="Times New Roman"/>
                <w:sz w:val="22"/>
                <w:szCs w:val="22"/>
                <w:lang w:eastAsia="ja-JP"/>
              </w:rPr>
            </w:pPr>
            <w:r w:rsidRPr="00151A9F">
              <w:rPr>
                <w:rFonts w:ascii="Times New Roman" w:eastAsiaTheme="minorEastAsia" w:hAnsi="Times New Roman" w:cs="Times New Roman"/>
                <w:sz w:val="22"/>
                <w:szCs w:val="22"/>
                <w:lang w:eastAsia="ja-JP"/>
              </w:rPr>
              <w:t>6,6276.5</w:t>
            </w:r>
          </w:p>
          <w:p w14:paraId="40A1A76B" w14:textId="77777777" w:rsidR="00BF0C38" w:rsidRPr="00151A9F" w:rsidRDefault="00BF0C38" w:rsidP="00BF0C38">
            <w:pPr>
              <w:pStyle w:val="ListParagraph"/>
              <w:widowControl w:val="0"/>
              <w:ind w:left="0"/>
              <w:contextualSpacing w:val="0"/>
              <w:jc w:val="center"/>
              <w:rPr>
                <w:rFonts w:ascii="Times New Roman" w:eastAsiaTheme="minorEastAsia" w:hAnsi="Times New Roman" w:cs="Times New Roman"/>
                <w:sz w:val="22"/>
                <w:szCs w:val="22"/>
                <w:lang w:eastAsia="ja-JP"/>
              </w:rPr>
            </w:pPr>
            <w:r w:rsidRPr="00151A9F">
              <w:rPr>
                <w:rFonts w:ascii="Times New Roman" w:eastAsiaTheme="minorEastAsia" w:hAnsi="Times New Roman" w:cs="Times New Roman"/>
                <w:sz w:val="22"/>
                <w:szCs w:val="22"/>
                <w:lang w:eastAsia="ja-JP"/>
              </w:rPr>
              <w:t>491.1</w:t>
            </w:r>
          </w:p>
          <w:p w14:paraId="14A09043" w14:textId="77777777" w:rsidR="00BF0C38" w:rsidRPr="00151A9F" w:rsidRDefault="00BF0C38" w:rsidP="00BF0C38">
            <w:pPr>
              <w:pStyle w:val="ListParagraph"/>
              <w:widowControl w:val="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7,118.6</w:t>
            </w:r>
          </w:p>
          <w:p w14:paraId="6ECB0C64" w14:textId="77777777" w:rsidR="00D64C6C" w:rsidRPr="00151A9F" w:rsidRDefault="00D64C6C" w:rsidP="00BF0C38">
            <w:pPr>
              <w:pStyle w:val="ListParagraph"/>
              <w:widowControl w:val="0"/>
              <w:ind w:left="0"/>
              <w:contextualSpacing w:val="0"/>
              <w:jc w:val="center"/>
              <w:rPr>
                <w:rFonts w:ascii="Times New Roman" w:eastAsiaTheme="minorEastAsia" w:hAnsi="Times New Roman" w:cs="Times New Roman"/>
                <w:b/>
                <w:sz w:val="22"/>
                <w:szCs w:val="22"/>
                <w:lang w:eastAsia="ja-JP"/>
              </w:rPr>
            </w:pPr>
          </w:p>
          <w:p w14:paraId="7EA73F0D" w14:textId="77777777" w:rsidR="00D64C6C" w:rsidRPr="00151A9F" w:rsidRDefault="00D64C6C" w:rsidP="00BF0C38">
            <w:pPr>
              <w:pStyle w:val="ListParagraph"/>
              <w:widowControl w:val="0"/>
              <w:ind w:left="0"/>
              <w:contextualSpacing w:val="0"/>
              <w:jc w:val="center"/>
              <w:rPr>
                <w:rFonts w:ascii="Times New Roman" w:eastAsiaTheme="minorEastAsia" w:hAnsi="Times New Roman" w:cs="Times New Roman"/>
                <w:sz w:val="22"/>
                <w:szCs w:val="22"/>
                <w:lang w:eastAsia="ja-JP"/>
              </w:rPr>
            </w:pPr>
            <w:r w:rsidRPr="00151A9F">
              <w:rPr>
                <w:rFonts w:ascii="Times New Roman" w:eastAsiaTheme="minorEastAsia" w:hAnsi="Times New Roman" w:cs="Times New Roman"/>
                <w:sz w:val="22"/>
                <w:szCs w:val="22"/>
                <w:lang w:eastAsia="ja-JP"/>
              </w:rPr>
              <w:t>175.8</w:t>
            </w:r>
          </w:p>
          <w:p w14:paraId="712AD71F" w14:textId="77777777" w:rsidR="00D64C6C" w:rsidRPr="00151A9F" w:rsidRDefault="00D64C6C" w:rsidP="00BF0C38">
            <w:pPr>
              <w:pStyle w:val="ListParagraph"/>
              <w:widowControl w:val="0"/>
              <w:ind w:left="0"/>
              <w:contextualSpacing w:val="0"/>
              <w:jc w:val="center"/>
              <w:rPr>
                <w:rFonts w:ascii="Times New Roman" w:eastAsiaTheme="minorEastAsia" w:hAnsi="Times New Roman" w:cs="Times New Roman"/>
                <w:sz w:val="22"/>
                <w:szCs w:val="22"/>
                <w:lang w:eastAsia="ja-JP"/>
              </w:rPr>
            </w:pPr>
          </w:p>
          <w:p w14:paraId="138BB4C7" w14:textId="77777777" w:rsidR="00D64C6C" w:rsidRPr="00151A9F" w:rsidRDefault="00D64C6C" w:rsidP="00BF0C38">
            <w:pPr>
              <w:pStyle w:val="ListParagraph"/>
              <w:widowControl w:val="0"/>
              <w:ind w:left="0"/>
              <w:contextualSpacing w:val="0"/>
              <w:jc w:val="center"/>
              <w:rPr>
                <w:rFonts w:ascii="Times New Roman" w:eastAsiaTheme="minorEastAsia" w:hAnsi="Times New Roman" w:cs="Times New Roman"/>
                <w:sz w:val="22"/>
                <w:szCs w:val="22"/>
                <w:lang w:eastAsia="ja-JP"/>
              </w:rPr>
            </w:pPr>
            <w:r w:rsidRPr="00151A9F">
              <w:rPr>
                <w:rFonts w:ascii="Times New Roman" w:eastAsiaTheme="minorEastAsia" w:hAnsi="Times New Roman" w:cs="Times New Roman"/>
                <w:sz w:val="22"/>
                <w:szCs w:val="22"/>
                <w:lang w:eastAsia="ja-JP"/>
              </w:rPr>
              <w:t>0.0</w:t>
            </w:r>
          </w:p>
          <w:p w14:paraId="71A2FB26" w14:textId="77777777" w:rsidR="00D64C6C" w:rsidRPr="00151A9F" w:rsidRDefault="00D64C6C" w:rsidP="00BF0C38">
            <w:pPr>
              <w:pStyle w:val="ListParagraph"/>
              <w:widowControl w:val="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175.8</w:t>
            </w:r>
          </w:p>
        </w:tc>
        <w:tc>
          <w:tcPr>
            <w:tcW w:w="1170" w:type="dxa"/>
          </w:tcPr>
          <w:p w14:paraId="1489DE3D" w14:textId="77777777" w:rsidR="00BF0C38" w:rsidRPr="00151A9F" w:rsidRDefault="00BF0C38" w:rsidP="00BF0C38">
            <w:pPr>
              <w:pStyle w:val="ListParagraph"/>
              <w:widowControl w:val="0"/>
              <w:ind w:left="0"/>
              <w:contextualSpacing w:val="0"/>
              <w:jc w:val="center"/>
              <w:rPr>
                <w:rFonts w:ascii="Times New Roman" w:hAnsi="Times New Roman" w:cs="Times New Roman"/>
                <w:sz w:val="22"/>
                <w:szCs w:val="22"/>
              </w:rPr>
            </w:pPr>
            <w:r w:rsidRPr="00151A9F">
              <w:rPr>
                <w:rFonts w:ascii="Times New Roman" w:hAnsi="Times New Roman" w:cs="Times New Roman"/>
                <w:sz w:val="22"/>
                <w:szCs w:val="22"/>
              </w:rPr>
              <w:t>5,779.8</w:t>
            </w:r>
          </w:p>
          <w:p w14:paraId="081F8056" w14:textId="77777777" w:rsidR="00BF0C38" w:rsidRPr="00151A9F" w:rsidRDefault="00BF0C38" w:rsidP="00BF0C38">
            <w:pPr>
              <w:pStyle w:val="ListParagraph"/>
              <w:widowControl w:val="0"/>
              <w:ind w:left="0"/>
              <w:contextualSpacing w:val="0"/>
              <w:jc w:val="center"/>
              <w:rPr>
                <w:rFonts w:ascii="Times New Roman" w:hAnsi="Times New Roman" w:cs="Times New Roman"/>
                <w:sz w:val="22"/>
                <w:szCs w:val="22"/>
              </w:rPr>
            </w:pPr>
            <w:r w:rsidRPr="00151A9F">
              <w:rPr>
                <w:rFonts w:ascii="Times New Roman" w:hAnsi="Times New Roman" w:cs="Times New Roman"/>
                <w:sz w:val="22"/>
                <w:szCs w:val="22"/>
              </w:rPr>
              <w:t>1,800.0</w:t>
            </w:r>
          </w:p>
          <w:p w14:paraId="3B8B233B" w14:textId="77777777" w:rsidR="00BF0C38" w:rsidRPr="00151A9F" w:rsidRDefault="00BF0C38" w:rsidP="00BF0C38">
            <w:pPr>
              <w:pStyle w:val="ListParagraph"/>
              <w:widowControl w:val="0"/>
              <w:ind w:left="0"/>
              <w:contextualSpacing w:val="0"/>
              <w:jc w:val="center"/>
              <w:rPr>
                <w:rFonts w:ascii="Times New Roman" w:hAnsi="Times New Roman" w:cs="Times New Roman"/>
                <w:b/>
                <w:sz w:val="22"/>
                <w:szCs w:val="22"/>
              </w:rPr>
            </w:pPr>
            <w:r w:rsidRPr="00151A9F">
              <w:rPr>
                <w:rFonts w:ascii="Times New Roman" w:hAnsi="Times New Roman" w:cs="Times New Roman"/>
                <w:b/>
                <w:sz w:val="22"/>
                <w:szCs w:val="22"/>
              </w:rPr>
              <w:t>7,579.8</w:t>
            </w:r>
          </w:p>
          <w:p w14:paraId="63D36CEB" w14:textId="77777777" w:rsidR="00D64C6C" w:rsidRPr="00151A9F" w:rsidRDefault="00D64C6C" w:rsidP="00BF0C38">
            <w:pPr>
              <w:pStyle w:val="ListParagraph"/>
              <w:widowControl w:val="0"/>
              <w:ind w:left="0"/>
              <w:contextualSpacing w:val="0"/>
              <w:jc w:val="center"/>
              <w:rPr>
                <w:rFonts w:ascii="Times New Roman" w:hAnsi="Times New Roman" w:cs="Times New Roman"/>
                <w:b/>
                <w:sz w:val="22"/>
                <w:szCs w:val="22"/>
              </w:rPr>
            </w:pPr>
          </w:p>
          <w:p w14:paraId="41064F15" w14:textId="77777777" w:rsidR="00D64C6C" w:rsidRPr="00151A9F" w:rsidRDefault="00D64C6C" w:rsidP="00BF0C38">
            <w:pPr>
              <w:pStyle w:val="ListParagraph"/>
              <w:widowControl w:val="0"/>
              <w:ind w:left="0"/>
              <w:contextualSpacing w:val="0"/>
              <w:jc w:val="center"/>
              <w:rPr>
                <w:rFonts w:ascii="Times New Roman" w:hAnsi="Times New Roman" w:cs="Times New Roman"/>
                <w:sz w:val="22"/>
                <w:szCs w:val="22"/>
              </w:rPr>
            </w:pPr>
            <w:r w:rsidRPr="00151A9F">
              <w:rPr>
                <w:rFonts w:ascii="Times New Roman" w:hAnsi="Times New Roman" w:cs="Times New Roman"/>
                <w:sz w:val="22"/>
                <w:szCs w:val="22"/>
              </w:rPr>
              <w:t>986.8</w:t>
            </w:r>
          </w:p>
          <w:p w14:paraId="2A14BF0F" w14:textId="77777777" w:rsidR="00D64C6C" w:rsidRPr="00151A9F" w:rsidRDefault="00D64C6C" w:rsidP="00BF0C38">
            <w:pPr>
              <w:pStyle w:val="ListParagraph"/>
              <w:widowControl w:val="0"/>
              <w:ind w:left="0"/>
              <w:contextualSpacing w:val="0"/>
              <w:jc w:val="center"/>
              <w:rPr>
                <w:rFonts w:ascii="Times New Roman" w:hAnsi="Times New Roman" w:cs="Times New Roman"/>
                <w:sz w:val="22"/>
                <w:szCs w:val="22"/>
              </w:rPr>
            </w:pPr>
          </w:p>
          <w:p w14:paraId="78F26189" w14:textId="77777777" w:rsidR="00D64C6C" w:rsidRPr="00151A9F" w:rsidRDefault="00D64C6C" w:rsidP="00BF0C38">
            <w:pPr>
              <w:pStyle w:val="ListParagraph"/>
              <w:widowControl w:val="0"/>
              <w:ind w:left="0"/>
              <w:contextualSpacing w:val="0"/>
              <w:jc w:val="center"/>
              <w:rPr>
                <w:rFonts w:ascii="Times New Roman" w:hAnsi="Times New Roman" w:cs="Times New Roman"/>
                <w:sz w:val="22"/>
                <w:szCs w:val="22"/>
              </w:rPr>
            </w:pPr>
            <w:r w:rsidRPr="00151A9F">
              <w:rPr>
                <w:rFonts w:ascii="Times New Roman" w:hAnsi="Times New Roman" w:cs="Times New Roman"/>
                <w:sz w:val="22"/>
                <w:szCs w:val="22"/>
              </w:rPr>
              <w:t>1,000.0</w:t>
            </w:r>
          </w:p>
          <w:p w14:paraId="0594C2BA" w14:textId="77777777" w:rsidR="00D64C6C" w:rsidRPr="00151A9F" w:rsidRDefault="00D64C6C" w:rsidP="00BF0C38">
            <w:pPr>
              <w:pStyle w:val="ListParagraph"/>
              <w:widowControl w:val="0"/>
              <w:ind w:left="0"/>
              <w:contextualSpacing w:val="0"/>
              <w:jc w:val="center"/>
              <w:rPr>
                <w:rFonts w:ascii="Times New Roman" w:hAnsi="Times New Roman" w:cs="Times New Roman"/>
                <w:b/>
                <w:sz w:val="22"/>
                <w:szCs w:val="22"/>
              </w:rPr>
            </w:pPr>
            <w:r w:rsidRPr="00151A9F">
              <w:rPr>
                <w:rFonts w:ascii="Times New Roman" w:hAnsi="Times New Roman" w:cs="Times New Roman"/>
                <w:b/>
                <w:sz w:val="22"/>
                <w:szCs w:val="22"/>
              </w:rPr>
              <w:t>1,986.8</w:t>
            </w:r>
          </w:p>
        </w:tc>
        <w:tc>
          <w:tcPr>
            <w:tcW w:w="1350" w:type="dxa"/>
          </w:tcPr>
          <w:p w14:paraId="36FF1A16" w14:textId="77777777" w:rsidR="00BF0C38" w:rsidRPr="00151A9F" w:rsidRDefault="00BF0C38" w:rsidP="00BF0C38">
            <w:pPr>
              <w:pStyle w:val="ListParagraph"/>
              <w:widowControl w:val="0"/>
              <w:ind w:left="0"/>
              <w:contextualSpacing w:val="0"/>
              <w:jc w:val="center"/>
              <w:rPr>
                <w:rFonts w:ascii="Times New Roman" w:hAnsi="Times New Roman" w:cs="Times New Roman"/>
                <w:sz w:val="22"/>
                <w:szCs w:val="22"/>
              </w:rPr>
            </w:pPr>
            <w:r w:rsidRPr="00151A9F">
              <w:rPr>
                <w:rFonts w:ascii="Times New Roman" w:hAnsi="Times New Roman" w:cs="Times New Roman"/>
                <w:sz w:val="22"/>
                <w:szCs w:val="22"/>
              </w:rPr>
              <w:t>4,772.9</w:t>
            </w:r>
          </w:p>
          <w:p w14:paraId="73988087" w14:textId="77777777" w:rsidR="00BF0C38" w:rsidRPr="00151A9F" w:rsidRDefault="00BF0C38" w:rsidP="00BF0C38">
            <w:pPr>
              <w:pStyle w:val="ListParagraph"/>
              <w:widowControl w:val="0"/>
              <w:ind w:left="0"/>
              <w:contextualSpacing w:val="0"/>
              <w:jc w:val="center"/>
              <w:rPr>
                <w:rFonts w:ascii="Times New Roman" w:hAnsi="Times New Roman" w:cs="Times New Roman"/>
                <w:sz w:val="22"/>
                <w:szCs w:val="22"/>
              </w:rPr>
            </w:pPr>
            <w:r w:rsidRPr="00151A9F">
              <w:rPr>
                <w:rFonts w:ascii="Times New Roman" w:hAnsi="Times New Roman" w:cs="Times New Roman"/>
                <w:sz w:val="22"/>
                <w:szCs w:val="22"/>
              </w:rPr>
              <w:t>7,516.7</w:t>
            </w:r>
          </w:p>
          <w:p w14:paraId="3C87A046" w14:textId="77777777" w:rsidR="00BF0C38" w:rsidRPr="00151A9F" w:rsidRDefault="000F48FD" w:rsidP="00BF0C38">
            <w:pPr>
              <w:pStyle w:val="ListParagraph"/>
              <w:widowControl w:val="0"/>
              <w:ind w:left="0"/>
              <w:contextualSpacing w:val="0"/>
              <w:jc w:val="center"/>
              <w:rPr>
                <w:rFonts w:ascii="Times New Roman" w:hAnsi="Times New Roman" w:cs="Times New Roman"/>
                <w:b/>
                <w:sz w:val="22"/>
                <w:szCs w:val="22"/>
              </w:rPr>
            </w:pPr>
            <w:r>
              <w:rPr>
                <w:rFonts w:ascii="Times New Roman" w:hAnsi="Times New Roman" w:cs="Times New Roman"/>
                <w:b/>
                <w:sz w:val="22"/>
                <w:szCs w:val="22"/>
              </w:rPr>
              <w:t>12,289.6</w:t>
            </w:r>
          </w:p>
          <w:p w14:paraId="3A1C6031" w14:textId="77777777" w:rsidR="00D64C6C" w:rsidRPr="00151A9F" w:rsidRDefault="00D64C6C" w:rsidP="00BF0C38">
            <w:pPr>
              <w:pStyle w:val="ListParagraph"/>
              <w:widowControl w:val="0"/>
              <w:ind w:left="0"/>
              <w:contextualSpacing w:val="0"/>
              <w:jc w:val="center"/>
              <w:rPr>
                <w:rFonts w:ascii="Times New Roman" w:hAnsi="Times New Roman" w:cs="Times New Roman"/>
                <w:b/>
                <w:sz w:val="22"/>
                <w:szCs w:val="22"/>
              </w:rPr>
            </w:pPr>
          </w:p>
          <w:p w14:paraId="6DA30B91" w14:textId="77777777" w:rsidR="00D64C6C" w:rsidRPr="00151A9F" w:rsidRDefault="00D64C6C" w:rsidP="00BF0C38">
            <w:pPr>
              <w:pStyle w:val="ListParagraph"/>
              <w:widowControl w:val="0"/>
              <w:ind w:left="0"/>
              <w:contextualSpacing w:val="0"/>
              <w:jc w:val="center"/>
              <w:rPr>
                <w:rFonts w:ascii="Times New Roman" w:hAnsi="Times New Roman" w:cs="Times New Roman"/>
                <w:sz w:val="22"/>
                <w:szCs w:val="22"/>
              </w:rPr>
            </w:pPr>
            <w:r w:rsidRPr="00151A9F">
              <w:rPr>
                <w:rFonts w:ascii="Times New Roman" w:hAnsi="Times New Roman" w:cs="Times New Roman"/>
                <w:sz w:val="22"/>
                <w:szCs w:val="22"/>
              </w:rPr>
              <w:t>4,271.7</w:t>
            </w:r>
          </w:p>
          <w:p w14:paraId="22FFBCBA" w14:textId="77777777" w:rsidR="00D64C6C" w:rsidRPr="00151A9F" w:rsidRDefault="00D64C6C" w:rsidP="00BF0C38">
            <w:pPr>
              <w:pStyle w:val="ListParagraph"/>
              <w:widowControl w:val="0"/>
              <w:ind w:left="0"/>
              <w:contextualSpacing w:val="0"/>
              <w:jc w:val="center"/>
              <w:rPr>
                <w:rFonts w:ascii="Times New Roman" w:hAnsi="Times New Roman" w:cs="Times New Roman"/>
                <w:sz w:val="22"/>
                <w:szCs w:val="22"/>
              </w:rPr>
            </w:pPr>
          </w:p>
          <w:p w14:paraId="47F7F992" w14:textId="77777777" w:rsidR="00D64C6C" w:rsidRPr="00151A9F" w:rsidRDefault="00D64C6C" w:rsidP="00BF0C38">
            <w:pPr>
              <w:pStyle w:val="ListParagraph"/>
              <w:widowControl w:val="0"/>
              <w:ind w:left="0"/>
              <w:contextualSpacing w:val="0"/>
              <w:jc w:val="center"/>
              <w:rPr>
                <w:rFonts w:ascii="Times New Roman" w:hAnsi="Times New Roman" w:cs="Times New Roman"/>
                <w:sz w:val="22"/>
                <w:szCs w:val="22"/>
              </w:rPr>
            </w:pPr>
            <w:r w:rsidRPr="00151A9F">
              <w:rPr>
                <w:rFonts w:ascii="Times New Roman" w:hAnsi="Times New Roman" w:cs="Times New Roman"/>
                <w:sz w:val="22"/>
                <w:szCs w:val="22"/>
              </w:rPr>
              <w:t>1,000.0</w:t>
            </w:r>
          </w:p>
          <w:p w14:paraId="0F2E3341" w14:textId="77777777" w:rsidR="00D64C6C" w:rsidRPr="00151A9F" w:rsidRDefault="00D64C6C" w:rsidP="00BF0C38">
            <w:pPr>
              <w:pStyle w:val="ListParagraph"/>
              <w:widowControl w:val="0"/>
              <w:ind w:left="0"/>
              <w:contextualSpacing w:val="0"/>
              <w:jc w:val="center"/>
              <w:rPr>
                <w:rFonts w:ascii="Times New Roman" w:hAnsi="Times New Roman" w:cs="Times New Roman"/>
                <w:b/>
                <w:sz w:val="22"/>
                <w:szCs w:val="22"/>
              </w:rPr>
            </w:pPr>
            <w:r w:rsidRPr="00151A9F">
              <w:rPr>
                <w:rFonts w:ascii="Times New Roman" w:hAnsi="Times New Roman" w:cs="Times New Roman"/>
                <w:b/>
                <w:sz w:val="22"/>
                <w:szCs w:val="22"/>
              </w:rPr>
              <w:t>5,271.7</w:t>
            </w:r>
          </w:p>
        </w:tc>
        <w:tc>
          <w:tcPr>
            <w:tcW w:w="1458" w:type="dxa"/>
          </w:tcPr>
          <w:p w14:paraId="7A70F696" w14:textId="77777777" w:rsidR="00BF0C38" w:rsidRPr="00151A9F" w:rsidRDefault="00BF0C38" w:rsidP="00BF0C38">
            <w:pPr>
              <w:pStyle w:val="ListParagraph"/>
              <w:widowControl w:val="0"/>
              <w:ind w:left="0"/>
              <w:contextualSpacing w:val="0"/>
              <w:jc w:val="center"/>
              <w:rPr>
                <w:rFonts w:ascii="Times New Roman" w:hAnsi="Times New Roman" w:cs="Times New Roman"/>
                <w:sz w:val="22"/>
                <w:szCs w:val="22"/>
              </w:rPr>
            </w:pPr>
            <w:r w:rsidRPr="00151A9F">
              <w:rPr>
                <w:rFonts w:ascii="Times New Roman" w:hAnsi="Times New Roman" w:cs="Times New Roman"/>
                <w:sz w:val="22"/>
                <w:szCs w:val="22"/>
              </w:rPr>
              <w:t>-847.7</w:t>
            </w:r>
          </w:p>
          <w:p w14:paraId="5AB0DE9D" w14:textId="77777777" w:rsidR="00BF0C38" w:rsidRPr="00151A9F" w:rsidRDefault="00BF0C38" w:rsidP="00BF0C38">
            <w:pPr>
              <w:pStyle w:val="ListParagraph"/>
              <w:widowControl w:val="0"/>
              <w:ind w:left="0"/>
              <w:contextualSpacing w:val="0"/>
              <w:jc w:val="center"/>
              <w:rPr>
                <w:rFonts w:ascii="Times New Roman" w:hAnsi="Times New Roman" w:cs="Times New Roman"/>
                <w:sz w:val="22"/>
                <w:szCs w:val="22"/>
              </w:rPr>
            </w:pPr>
            <w:r w:rsidRPr="00151A9F">
              <w:rPr>
                <w:rFonts w:ascii="Times New Roman" w:hAnsi="Times New Roman" w:cs="Times New Roman"/>
                <w:sz w:val="22"/>
                <w:szCs w:val="22"/>
              </w:rPr>
              <w:t>1,308.9</w:t>
            </w:r>
          </w:p>
          <w:p w14:paraId="4E590C45" w14:textId="77777777" w:rsidR="00BF0C38" w:rsidRPr="00151A9F" w:rsidRDefault="00BF0C38" w:rsidP="00BF0C38">
            <w:pPr>
              <w:pStyle w:val="ListParagraph"/>
              <w:widowControl w:val="0"/>
              <w:ind w:left="0"/>
              <w:contextualSpacing w:val="0"/>
              <w:jc w:val="center"/>
              <w:rPr>
                <w:rFonts w:ascii="Times New Roman" w:hAnsi="Times New Roman" w:cs="Times New Roman"/>
                <w:b/>
                <w:sz w:val="22"/>
                <w:szCs w:val="22"/>
              </w:rPr>
            </w:pPr>
            <w:r w:rsidRPr="00151A9F">
              <w:rPr>
                <w:rFonts w:ascii="Times New Roman" w:hAnsi="Times New Roman" w:cs="Times New Roman"/>
                <w:b/>
                <w:sz w:val="22"/>
                <w:szCs w:val="22"/>
              </w:rPr>
              <w:t>461.2</w:t>
            </w:r>
          </w:p>
          <w:p w14:paraId="493887BC" w14:textId="77777777" w:rsidR="00D64C6C" w:rsidRPr="00151A9F" w:rsidRDefault="00D64C6C" w:rsidP="00BF0C38">
            <w:pPr>
              <w:pStyle w:val="ListParagraph"/>
              <w:widowControl w:val="0"/>
              <w:ind w:left="0"/>
              <w:contextualSpacing w:val="0"/>
              <w:jc w:val="center"/>
              <w:rPr>
                <w:rFonts w:ascii="Times New Roman" w:hAnsi="Times New Roman" w:cs="Times New Roman"/>
                <w:b/>
                <w:sz w:val="22"/>
                <w:szCs w:val="22"/>
              </w:rPr>
            </w:pPr>
          </w:p>
          <w:p w14:paraId="18BC1AE1" w14:textId="77777777" w:rsidR="00D64C6C" w:rsidRPr="00151A9F" w:rsidRDefault="00D64C6C" w:rsidP="00BF0C38">
            <w:pPr>
              <w:pStyle w:val="ListParagraph"/>
              <w:widowControl w:val="0"/>
              <w:ind w:left="0"/>
              <w:contextualSpacing w:val="0"/>
              <w:jc w:val="center"/>
              <w:rPr>
                <w:rFonts w:ascii="Times New Roman" w:hAnsi="Times New Roman" w:cs="Times New Roman"/>
                <w:sz w:val="22"/>
                <w:szCs w:val="22"/>
              </w:rPr>
            </w:pPr>
            <w:r w:rsidRPr="00151A9F">
              <w:rPr>
                <w:rFonts w:ascii="Times New Roman" w:hAnsi="Times New Roman" w:cs="Times New Roman"/>
                <w:sz w:val="22"/>
                <w:szCs w:val="22"/>
              </w:rPr>
              <w:t>811.1</w:t>
            </w:r>
          </w:p>
          <w:p w14:paraId="035FEC94" w14:textId="77777777" w:rsidR="00D64C6C" w:rsidRPr="00151A9F" w:rsidRDefault="00D64C6C" w:rsidP="00BF0C38">
            <w:pPr>
              <w:pStyle w:val="ListParagraph"/>
              <w:widowControl w:val="0"/>
              <w:ind w:left="0"/>
              <w:contextualSpacing w:val="0"/>
              <w:jc w:val="center"/>
              <w:rPr>
                <w:rFonts w:ascii="Times New Roman" w:hAnsi="Times New Roman" w:cs="Times New Roman"/>
                <w:sz w:val="22"/>
                <w:szCs w:val="22"/>
              </w:rPr>
            </w:pPr>
          </w:p>
          <w:p w14:paraId="12039E25" w14:textId="77777777" w:rsidR="00D64C6C" w:rsidRPr="00151A9F" w:rsidRDefault="00D64C6C" w:rsidP="00BF0C38">
            <w:pPr>
              <w:pStyle w:val="ListParagraph"/>
              <w:widowControl w:val="0"/>
              <w:ind w:left="0"/>
              <w:contextualSpacing w:val="0"/>
              <w:jc w:val="center"/>
              <w:rPr>
                <w:rFonts w:ascii="Times New Roman" w:hAnsi="Times New Roman" w:cs="Times New Roman"/>
                <w:sz w:val="22"/>
                <w:szCs w:val="22"/>
              </w:rPr>
            </w:pPr>
            <w:r w:rsidRPr="00151A9F">
              <w:rPr>
                <w:rFonts w:ascii="Times New Roman" w:hAnsi="Times New Roman" w:cs="Times New Roman"/>
                <w:sz w:val="22"/>
                <w:szCs w:val="22"/>
              </w:rPr>
              <w:t>1,000.0</w:t>
            </w:r>
          </w:p>
          <w:p w14:paraId="2FD6A3A5" w14:textId="77777777" w:rsidR="00D64C6C" w:rsidRPr="00151A9F" w:rsidRDefault="00D64C6C" w:rsidP="00BF0C38">
            <w:pPr>
              <w:pStyle w:val="ListParagraph"/>
              <w:widowControl w:val="0"/>
              <w:ind w:left="0"/>
              <w:contextualSpacing w:val="0"/>
              <w:jc w:val="center"/>
              <w:rPr>
                <w:rFonts w:ascii="Times New Roman" w:hAnsi="Times New Roman" w:cs="Times New Roman"/>
                <w:b/>
                <w:sz w:val="22"/>
                <w:szCs w:val="22"/>
              </w:rPr>
            </w:pPr>
            <w:r w:rsidRPr="00151A9F">
              <w:rPr>
                <w:rFonts w:ascii="Times New Roman" w:hAnsi="Times New Roman" w:cs="Times New Roman"/>
                <w:b/>
                <w:sz w:val="22"/>
                <w:szCs w:val="22"/>
              </w:rPr>
              <w:t>1,811.0</w:t>
            </w:r>
          </w:p>
        </w:tc>
      </w:tr>
      <w:tr w:rsidR="00BF0C38" w14:paraId="4BB681A7" w14:textId="77777777" w:rsidTr="00151A9F">
        <w:tc>
          <w:tcPr>
            <w:tcW w:w="2080" w:type="dxa"/>
            <w:vAlign w:val="bottom"/>
          </w:tcPr>
          <w:p w14:paraId="2CC5803F" w14:textId="77777777" w:rsidR="00BF0C38" w:rsidRPr="00151A9F" w:rsidRDefault="00151A9F" w:rsidP="00151A9F">
            <w:pPr>
              <w:pStyle w:val="ListParagraph"/>
              <w:widowControl w:val="0"/>
              <w:spacing w:after="240"/>
              <w:ind w:left="0"/>
              <w:contextualSpacing w:val="0"/>
              <w:jc w:val="center"/>
              <w:rPr>
                <w:rFonts w:cs="Times New Roman"/>
                <w:sz w:val="22"/>
                <w:szCs w:val="22"/>
              </w:rPr>
            </w:pPr>
            <w:r w:rsidRPr="00151A9F">
              <w:rPr>
                <w:rFonts w:cs="Times New Roman"/>
                <w:sz w:val="22"/>
                <w:szCs w:val="22"/>
              </w:rPr>
              <w:t>Less Redemption</w:t>
            </w:r>
          </w:p>
        </w:tc>
        <w:tc>
          <w:tcPr>
            <w:tcW w:w="1358" w:type="dxa"/>
          </w:tcPr>
          <w:p w14:paraId="2FD5B8BF" w14:textId="77777777" w:rsidR="00BF0C38" w:rsidRPr="00151A9F" w:rsidRDefault="00BF0C38" w:rsidP="00BF0C38">
            <w:pPr>
              <w:pStyle w:val="ListParagraph"/>
              <w:widowControl w:val="0"/>
              <w:spacing w:after="240"/>
              <w:ind w:left="0"/>
              <w:contextualSpacing w:val="0"/>
              <w:jc w:val="both"/>
              <w:rPr>
                <w:rFonts w:ascii="Times New Roman" w:eastAsiaTheme="minorEastAsia" w:hAnsi="Times New Roman" w:cs="Times New Roman"/>
                <w:sz w:val="22"/>
                <w:szCs w:val="22"/>
                <w:lang w:eastAsia="ja-JP"/>
              </w:rPr>
            </w:pPr>
          </w:p>
        </w:tc>
        <w:tc>
          <w:tcPr>
            <w:tcW w:w="1440" w:type="dxa"/>
          </w:tcPr>
          <w:p w14:paraId="351D3248" w14:textId="77777777" w:rsidR="00BF0C38" w:rsidRPr="00151A9F" w:rsidRDefault="00151A9F" w:rsidP="00151A9F">
            <w:pPr>
              <w:pStyle w:val="ListParagraph"/>
              <w:widowControl w:val="0"/>
              <w:spacing w:after="240"/>
              <w:ind w:left="0"/>
              <w:contextualSpacing w:val="0"/>
              <w:jc w:val="center"/>
              <w:rPr>
                <w:rFonts w:ascii="Times New Roman" w:eastAsiaTheme="minorEastAsia" w:hAnsi="Times New Roman" w:cs="Times New Roman"/>
                <w:sz w:val="22"/>
                <w:szCs w:val="22"/>
                <w:lang w:eastAsia="ja-JP"/>
              </w:rPr>
            </w:pPr>
            <w:r w:rsidRPr="00151A9F">
              <w:rPr>
                <w:rFonts w:ascii="Times New Roman" w:eastAsiaTheme="minorEastAsia" w:hAnsi="Times New Roman" w:cs="Times New Roman"/>
                <w:sz w:val="22"/>
                <w:szCs w:val="22"/>
                <w:lang w:eastAsia="ja-JP"/>
              </w:rPr>
              <w:t>2,500.0</w:t>
            </w:r>
          </w:p>
        </w:tc>
        <w:tc>
          <w:tcPr>
            <w:tcW w:w="1170" w:type="dxa"/>
          </w:tcPr>
          <w:p w14:paraId="3C1EC528" w14:textId="77777777" w:rsidR="00BF0C38" w:rsidRPr="00151A9F" w:rsidRDefault="00BF0C38" w:rsidP="00151A9F">
            <w:pPr>
              <w:pStyle w:val="ListParagraph"/>
              <w:widowControl w:val="0"/>
              <w:spacing w:after="240"/>
              <w:ind w:left="0"/>
              <w:contextualSpacing w:val="0"/>
              <w:jc w:val="center"/>
              <w:rPr>
                <w:rFonts w:ascii="Times New Roman" w:eastAsiaTheme="minorEastAsia" w:hAnsi="Times New Roman" w:cs="Times New Roman"/>
                <w:sz w:val="22"/>
                <w:szCs w:val="22"/>
                <w:lang w:eastAsia="ja-JP"/>
              </w:rPr>
            </w:pPr>
          </w:p>
        </w:tc>
        <w:tc>
          <w:tcPr>
            <w:tcW w:w="1350" w:type="dxa"/>
          </w:tcPr>
          <w:p w14:paraId="037E5093" w14:textId="77777777" w:rsidR="00BF0C38" w:rsidRPr="00151A9F" w:rsidRDefault="00BF0C38" w:rsidP="00151A9F">
            <w:pPr>
              <w:pStyle w:val="ListParagraph"/>
              <w:widowControl w:val="0"/>
              <w:spacing w:after="240"/>
              <w:ind w:left="0"/>
              <w:contextualSpacing w:val="0"/>
              <w:jc w:val="center"/>
              <w:rPr>
                <w:rFonts w:ascii="Times New Roman" w:eastAsiaTheme="minorEastAsia" w:hAnsi="Times New Roman" w:cs="Times New Roman"/>
                <w:sz w:val="22"/>
                <w:szCs w:val="22"/>
                <w:lang w:eastAsia="ja-JP"/>
              </w:rPr>
            </w:pPr>
          </w:p>
        </w:tc>
        <w:tc>
          <w:tcPr>
            <w:tcW w:w="1458" w:type="dxa"/>
          </w:tcPr>
          <w:p w14:paraId="1FE5BDFE" w14:textId="77777777" w:rsidR="00BF0C38" w:rsidRPr="00151A9F" w:rsidRDefault="00151A9F" w:rsidP="00151A9F">
            <w:pPr>
              <w:pStyle w:val="ListParagraph"/>
              <w:widowControl w:val="0"/>
              <w:spacing w:after="240"/>
              <w:ind w:left="0"/>
              <w:contextualSpacing w:val="0"/>
              <w:jc w:val="center"/>
              <w:rPr>
                <w:rFonts w:ascii="Times New Roman" w:eastAsiaTheme="minorEastAsia" w:hAnsi="Times New Roman" w:cs="Times New Roman"/>
                <w:sz w:val="22"/>
                <w:szCs w:val="22"/>
                <w:lang w:eastAsia="ja-JP"/>
              </w:rPr>
            </w:pPr>
            <w:r w:rsidRPr="00151A9F">
              <w:rPr>
                <w:rFonts w:ascii="Times New Roman" w:eastAsiaTheme="minorEastAsia" w:hAnsi="Times New Roman" w:cs="Times New Roman"/>
                <w:sz w:val="22"/>
                <w:szCs w:val="22"/>
                <w:lang w:eastAsia="ja-JP"/>
              </w:rPr>
              <w:t>-2,500.0</w:t>
            </w:r>
          </w:p>
        </w:tc>
      </w:tr>
      <w:tr w:rsidR="00BF0C38" w14:paraId="498BCEB4" w14:textId="77777777" w:rsidTr="00D64C6C">
        <w:tc>
          <w:tcPr>
            <w:tcW w:w="2080" w:type="dxa"/>
            <w:vAlign w:val="bottom"/>
          </w:tcPr>
          <w:p w14:paraId="3398CF57" w14:textId="77777777" w:rsidR="00BF0C38" w:rsidRPr="00151A9F" w:rsidRDefault="00D64C6C" w:rsidP="00D64C6C">
            <w:pPr>
              <w:pStyle w:val="ListParagraph"/>
              <w:widowControl w:val="0"/>
              <w:spacing w:after="240"/>
              <w:ind w:left="0"/>
              <w:contextualSpacing w:val="0"/>
              <w:jc w:val="center"/>
              <w:rPr>
                <w:rFonts w:cs="Times New Roman"/>
                <w:b/>
                <w:sz w:val="22"/>
                <w:szCs w:val="22"/>
              </w:rPr>
            </w:pPr>
            <w:r w:rsidRPr="00151A9F">
              <w:rPr>
                <w:rFonts w:cs="Times New Roman"/>
                <w:b/>
                <w:sz w:val="22"/>
                <w:szCs w:val="22"/>
              </w:rPr>
              <w:lastRenderedPageBreak/>
              <w:t>Total Debt</w:t>
            </w:r>
          </w:p>
        </w:tc>
        <w:tc>
          <w:tcPr>
            <w:tcW w:w="1358" w:type="dxa"/>
          </w:tcPr>
          <w:p w14:paraId="0857171F" w14:textId="77777777" w:rsidR="00BF0C38" w:rsidRPr="00151A9F" w:rsidRDefault="00D64C6C" w:rsidP="00151A9F">
            <w:pPr>
              <w:pStyle w:val="ListParagraph"/>
              <w:widowControl w:val="0"/>
              <w:spacing w:after="24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15,289.0</w:t>
            </w:r>
          </w:p>
        </w:tc>
        <w:tc>
          <w:tcPr>
            <w:tcW w:w="1440" w:type="dxa"/>
          </w:tcPr>
          <w:p w14:paraId="101EC3ED" w14:textId="77777777" w:rsidR="00BF0C38" w:rsidRPr="00151A9F" w:rsidRDefault="00D64C6C" w:rsidP="00151A9F">
            <w:pPr>
              <w:pStyle w:val="ListParagraph"/>
              <w:widowControl w:val="0"/>
              <w:spacing w:after="24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9,794.4</w:t>
            </w:r>
          </w:p>
        </w:tc>
        <w:tc>
          <w:tcPr>
            <w:tcW w:w="1170" w:type="dxa"/>
          </w:tcPr>
          <w:p w14:paraId="074F0F67" w14:textId="77777777" w:rsidR="00BF0C38" w:rsidRPr="00151A9F" w:rsidRDefault="00D64C6C" w:rsidP="00151A9F">
            <w:pPr>
              <w:pStyle w:val="ListParagraph"/>
              <w:widowControl w:val="0"/>
              <w:spacing w:after="24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9,566.6</w:t>
            </w:r>
          </w:p>
        </w:tc>
        <w:tc>
          <w:tcPr>
            <w:tcW w:w="1350" w:type="dxa"/>
          </w:tcPr>
          <w:p w14:paraId="7F0E8DA6" w14:textId="77777777" w:rsidR="00BF0C38" w:rsidRPr="00151A9F" w:rsidRDefault="000F48FD" w:rsidP="00151A9F">
            <w:pPr>
              <w:pStyle w:val="ListParagraph"/>
              <w:widowControl w:val="0"/>
              <w:spacing w:after="240"/>
              <w:ind w:left="0"/>
              <w:contextualSpacing w:val="0"/>
              <w:jc w:val="center"/>
              <w:rPr>
                <w:rFonts w:ascii="Times New Roman" w:eastAsiaTheme="minorEastAsia" w:hAnsi="Times New Roman" w:cs="Times New Roman"/>
                <w:b/>
                <w:sz w:val="22"/>
                <w:szCs w:val="22"/>
                <w:lang w:eastAsia="ja-JP"/>
              </w:rPr>
            </w:pPr>
            <w:r>
              <w:rPr>
                <w:rFonts w:ascii="Times New Roman" w:eastAsiaTheme="minorEastAsia" w:hAnsi="Times New Roman" w:cs="Times New Roman"/>
                <w:b/>
                <w:sz w:val="22"/>
                <w:szCs w:val="22"/>
                <w:lang w:eastAsia="ja-JP"/>
              </w:rPr>
              <w:t>17,561</w:t>
            </w:r>
            <w:r w:rsidR="00D64C6C" w:rsidRPr="00151A9F">
              <w:rPr>
                <w:rFonts w:ascii="Times New Roman" w:eastAsiaTheme="minorEastAsia" w:hAnsi="Times New Roman" w:cs="Times New Roman"/>
                <w:b/>
                <w:sz w:val="22"/>
                <w:szCs w:val="22"/>
                <w:lang w:eastAsia="ja-JP"/>
              </w:rPr>
              <w:t>.</w:t>
            </w:r>
            <w:r>
              <w:rPr>
                <w:rFonts w:ascii="Times New Roman" w:eastAsiaTheme="minorEastAsia" w:hAnsi="Times New Roman" w:cs="Times New Roman"/>
                <w:b/>
                <w:sz w:val="22"/>
                <w:szCs w:val="22"/>
                <w:lang w:eastAsia="ja-JP"/>
              </w:rPr>
              <w:t>3</w:t>
            </w:r>
          </w:p>
        </w:tc>
        <w:tc>
          <w:tcPr>
            <w:tcW w:w="1458" w:type="dxa"/>
          </w:tcPr>
          <w:p w14:paraId="6C5D1216" w14:textId="77777777" w:rsidR="00BF0C38" w:rsidRPr="00151A9F" w:rsidRDefault="00D64C6C" w:rsidP="00151A9F">
            <w:pPr>
              <w:pStyle w:val="ListParagraph"/>
              <w:widowControl w:val="0"/>
              <w:spacing w:after="240"/>
              <w:ind w:left="0"/>
              <w:contextualSpacing w:val="0"/>
              <w:jc w:val="center"/>
              <w:rPr>
                <w:rFonts w:ascii="Times New Roman" w:eastAsiaTheme="minorEastAsia" w:hAnsi="Times New Roman" w:cs="Times New Roman"/>
                <w:b/>
                <w:sz w:val="22"/>
                <w:szCs w:val="22"/>
                <w:lang w:eastAsia="ja-JP"/>
              </w:rPr>
            </w:pPr>
            <w:r w:rsidRPr="00151A9F">
              <w:rPr>
                <w:rFonts w:ascii="Times New Roman" w:eastAsiaTheme="minorEastAsia" w:hAnsi="Times New Roman" w:cs="Times New Roman"/>
                <w:b/>
                <w:sz w:val="22"/>
                <w:szCs w:val="22"/>
                <w:lang w:eastAsia="ja-JP"/>
              </w:rPr>
              <w:t>-22</w:t>
            </w:r>
            <w:r w:rsidR="00151A9F" w:rsidRPr="00151A9F">
              <w:rPr>
                <w:rFonts w:ascii="Times New Roman" w:eastAsiaTheme="minorEastAsia" w:hAnsi="Times New Roman" w:cs="Times New Roman"/>
                <w:b/>
                <w:sz w:val="22"/>
                <w:szCs w:val="22"/>
                <w:lang w:eastAsia="ja-JP"/>
              </w:rPr>
              <w:t>7.8</w:t>
            </w:r>
          </w:p>
        </w:tc>
      </w:tr>
    </w:tbl>
    <w:p w14:paraId="13859AD9" w14:textId="77777777" w:rsidR="00BF0C38" w:rsidRPr="00151A9F" w:rsidRDefault="00151A9F" w:rsidP="00BF0C38">
      <w:pPr>
        <w:pStyle w:val="ListParagraph"/>
        <w:widowControl w:val="0"/>
        <w:spacing w:after="240"/>
        <w:ind w:left="0"/>
        <w:contextualSpacing w:val="0"/>
        <w:jc w:val="both"/>
        <w:rPr>
          <w:rFonts w:cs="Times New Roman"/>
          <w:i/>
          <w:sz w:val="22"/>
          <w:szCs w:val="22"/>
        </w:rPr>
      </w:pPr>
      <w:r w:rsidRPr="00151A9F">
        <w:rPr>
          <w:rFonts w:cs="Times New Roman"/>
          <w:i/>
          <w:sz w:val="22"/>
          <w:szCs w:val="22"/>
        </w:rPr>
        <w:t>Source: FMD</w:t>
      </w:r>
    </w:p>
    <w:p w14:paraId="079226F1" w14:textId="7371B116" w:rsidR="002577DF" w:rsidRPr="002577DF" w:rsidRDefault="002577DF" w:rsidP="002577DF">
      <w:pPr>
        <w:pStyle w:val="ListParagraph"/>
        <w:widowControl w:val="0"/>
        <w:numPr>
          <w:ilvl w:val="0"/>
          <w:numId w:val="2"/>
        </w:numPr>
        <w:spacing w:after="240"/>
        <w:ind w:left="0" w:firstLine="0"/>
        <w:contextualSpacing w:val="0"/>
        <w:jc w:val="both"/>
        <w:rPr>
          <w:rFonts w:cs="Times New Roman"/>
        </w:rPr>
      </w:pPr>
      <w:r w:rsidRPr="000812B5">
        <w:rPr>
          <w:rFonts w:cs="Times New Roman"/>
        </w:rPr>
        <w:t>The annual issuance calendar</w:t>
      </w:r>
      <w:r w:rsidRPr="003F04B9">
        <w:rPr>
          <w:rFonts w:cs="Times New Roman"/>
        </w:rPr>
        <w:t xml:space="preserve"> is</w:t>
      </w:r>
      <w:r w:rsidR="007C13BC">
        <w:rPr>
          <w:rFonts w:cs="Times New Roman"/>
        </w:rPr>
        <w:t xml:space="preserve"> to be </w:t>
      </w:r>
      <w:r w:rsidRPr="003F04B9">
        <w:rPr>
          <w:rFonts w:cs="Times New Roman"/>
        </w:rPr>
        <w:t>pu</w:t>
      </w:r>
      <w:r w:rsidR="000812B5">
        <w:rPr>
          <w:rFonts w:cs="Times New Roman"/>
        </w:rPr>
        <w:t xml:space="preserve">blished </w:t>
      </w:r>
      <w:r w:rsidRPr="003F04B9">
        <w:rPr>
          <w:rFonts w:cs="Times New Roman"/>
        </w:rPr>
        <w:t xml:space="preserve">and </w:t>
      </w:r>
      <w:r w:rsidR="000812B5">
        <w:rPr>
          <w:rFonts w:cs="Times New Roman"/>
        </w:rPr>
        <w:t xml:space="preserve">made </w:t>
      </w:r>
      <w:r w:rsidRPr="003F04B9">
        <w:rPr>
          <w:rFonts w:cs="Times New Roman"/>
        </w:rPr>
        <w:t xml:space="preserve">readily accessible through the Department of Treasury’s and the Bank of Papua New Guinea’s websites. Included in the annual plan are any relevant public debt management policy changes and bond market development strategies and or initiatives. </w:t>
      </w:r>
    </w:p>
    <w:p w14:paraId="0CEC9032" w14:textId="0DED1B97" w:rsidR="0024057E" w:rsidRPr="003F04B9" w:rsidRDefault="005D7470" w:rsidP="00F04788">
      <w:pPr>
        <w:pStyle w:val="ListParagraph"/>
        <w:widowControl w:val="0"/>
        <w:numPr>
          <w:ilvl w:val="0"/>
          <w:numId w:val="2"/>
        </w:numPr>
        <w:spacing w:after="240"/>
        <w:ind w:left="0" w:firstLine="0"/>
        <w:contextualSpacing w:val="0"/>
        <w:jc w:val="both"/>
        <w:rPr>
          <w:rFonts w:cs="Times New Roman"/>
        </w:rPr>
      </w:pPr>
      <w:r w:rsidRPr="003F04B9">
        <w:rPr>
          <w:rFonts w:cs="Times New Roman"/>
        </w:rPr>
        <w:t>T</w:t>
      </w:r>
      <w:r w:rsidR="0046519C" w:rsidRPr="003F04B9">
        <w:rPr>
          <w:rFonts w:cs="Times New Roman"/>
        </w:rPr>
        <w:t xml:space="preserve">he annual plan </w:t>
      </w:r>
      <w:r w:rsidRPr="003F04B9">
        <w:rPr>
          <w:rFonts w:cs="Times New Roman"/>
        </w:rPr>
        <w:t>provides a</w:t>
      </w:r>
      <w:r w:rsidR="00616014">
        <w:rPr>
          <w:rFonts w:cs="Times New Roman"/>
        </w:rPr>
        <w:t xml:space="preserve"> Government</w:t>
      </w:r>
      <w:r w:rsidRPr="003F04B9">
        <w:rPr>
          <w:rFonts w:cs="Times New Roman"/>
        </w:rPr>
        <w:t xml:space="preserve"> Inscri</w:t>
      </w:r>
      <w:r w:rsidR="0024057E" w:rsidRPr="003F04B9">
        <w:rPr>
          <w:rFonts w:cs="Times New Roman"/>
        </w:rPr>
        <w:t>bed Stock issuance calendar to include</w:t>
      </w:r>
      <w:r w:rsidRPr="003F04B9">
        <w:rPr>
          <w:rFonts w:cs="Times New Roman"/>
        </w:rPr>
        <w:t>: (</w:t>
      </w:r>
      <w:proofErr w:type="spellStart"/>
      <w:r w:rsidRPr="003F04B9">
        <w:rPr>
          <w:rFonts w:cs="Times New Roman"/>
        </w:rPr>
        <w:t>i</w:t>
      </w:r>
      <w:proofErr w:type="spellEnd"/>
      <w:r w:rsidRPr="003F04B9">
        <w:rPr>
          <w:rFonts w:cs="Times New Roman"/>
        </w:rPr>
        <w:t>) indicative amount</w:t>
      </w:r>
      <w:r w:rsidR="0024057E" w:rsidRPr="003F04B9">
        <w:rPr>
          <w:rFonts w:cs="Times New Roman"/>
        </w:rPr>
        <w:t>s</w:t>
      </w:r>
      <w:r w:rsidRPr="003F04B9">
        <w:rPr>
          <w:rFonts w:cs="Times New Roman"/>
        </w:rPr>
        <w:t xml:space="preserve"> on offer</w:t>
      </w:r>
      <w:r w:rsidR="00461C61" w:rsidRPr="003F04B9">
        <w:rPr>
          <w:rFonts w:cs="Times New Roman"/>
        </w:rPr>
        <w:t xml:space="preserve"> for each </w:t>
      </w:r>
      <w:r w:rsidR="00616014">
        <w:rPr>
          <w:rFonts w:cs="Times New Roman"/>
        </w:rPr>
        <w:t>G</w:t>
      </w:r>
      <w:r w:rsidR="00461C61" w:rsidRPr="003F04B9">
        <w:rPr>
          <w:rFonts w:cs="Times New Roman"/>
        </w:rPr>
        <w:t>IS series</w:t>
      </w:r>
      <w:r w:rsidR="0024057E" w:rsidRPr="003F04B9">
        <w:rPr>
          <w:rFonts w:cs="Times New Roman"/>
        </w:rPr>
        <w:t xml:space="preserve">, ranging from </w:t>
      </w:r>
      <w:r w:rsidR="00341A40">
        <w:rPr>
          <w:rFonts w:cs="Times New Roman"/>
        </w:rPr>
        <w:t>PG</w:t>
      </w:r>
      <w:r w:rsidR="00843DD2">
        <w:rPr>
          <w:rFonts w:cs="Times New Roman"/>
        </w:rPr>
        <w:t>K</w:t>
      </w:r>
      <w:r w:rsidR="0024057E" w:rsidRPr="003F04B9">
        <w:rPr>
          <w:rFonts w:cs="Times New Roman"/>
        </w:rPr>
        <w:t xml:space="preserve">100mm to </w:t>
      </w:r>
      <w:r w:rsidR="00341A40">
        <w:rPr>
          <w:rFonts w:cs="Times New Roman"/>
        </w:rPr>
        <w:t>PG</w:t>
      </w:r>
      <w:r w:rsidR="00843DD2">
        <w:rPr>
          <w:rFonts w:cs="Times New Roman"/>
        </w:rPr>
        <w:t>K</w:t>
      </w:r>
      <w:r w:rsidR="0024057E" w:rsidRPr="003F04B9">
        <w:rPr>
          <w:rFonts w:cs="Times New Roman"/>
        </w:rPr>
        <w:t>200mm</w:t>
      </w:r>
      <w:r w:rsidRPr="003F04B9">
        <w:rPr>
          <w:rFonts w:cs="Times New Roman"/>
        </w:rPr>
        <w:t xml:space="preserve">; (ii) </w:t>
      </w:r>
      <w:r w:rsidR="0024057E" w:rsidRPr="003F04B9">
        <w:rPr>
          <w:rFonts w:cs="Times New Roman"/>
        </w:rPr>
        <w:t>issuance/</w:t>
      </w:r>
      <w:r w:rsidRPr="003F04B9">
        <w:rPr>
          <w:rFonts w:cs="Times New Roman"/>
        </w:rPr>
        <w:t>auction date</w:t>
      </w:r>
      <w:r w:rsidR="0024057E" w:rsidRPr="003F04B9">
        <w:rPr>
          <w:rFonts w:cs="Times New Roman"/>
        </w:rPr>
        <w:t>s, which is the third Tuesday of each month</w:t>
      </w:r>
      <w:r w:rsidR="0046519C" w:rsidRPr="003F04B9">
        <w:rPr>
          <w:rFonts w:cs="Times New Roman"/>
        </w:rPr>
        <w:t xml:space="preserve"> </w:t>
      </w:r>
      <w:r w:rsidR="0024057E" w:rsidRPr="003F04B9">
        <w:rPr>
          <w:rFonts w:cs="Times New Roman"/>
        </w:rPr>
        <w:t xml:space="preserve">and notice is given if </w:t>
      </w:r>
      <w:r w:rsidR="00616014">
        <w:rPr>
          <w:rFonts w:cs="Times New Roman"/>
        </w:rPr>
        <w:t>it is not to be held on</w:t>
      </w:r>
      <w:r w:rsidR="0024057E" w:rsidRPr="003F04B9">
        <w:rPr>
          <w:rFonts w:cs="Times New Roman"/>
        </w:rPr>
        <w:t xml:space="preserve"> the thi</w:t>
      </w:r>
      <w:r w:rsidR="00461C61" w:rsidRPr="003F04B9">
        <w:rPr>
          <w:rFonts w:cs="Times New Roman"/>
        </w:rPr>
        <w:t xml:space="preserve">rd Tuesday; (iii) maturities, auction amounts, </w:t>
      </w:r>
      <w:r w:rsidR="0024057E" w:rsidRPr="003F04B9">
        <w:rPr>
          <w:rFonts w:cs="Times New Roman"/>
        </w:rPr>
        <w:t>and coupon rates</w:t>
      </w:r>
      <w:r w:rsidR="00461C61" w:rsidRPr="003F04B9">
        <w:rPr>
          <w:rFonts w:cs="Times New Roman"/>
        </w:rPr>
        <w:t xml:space="preserve"> of each </w:t>
      </w:r>
      <w:r w:rsidR="00616014">
        <w:rPr>
          <w:rFonts w:cs="Times New Roman"/>
        </w:rPr>
        <w:t>G</w:t>
      </w:r>
      <w:r w:rsidR="00461C61" w:rsidRPr="003F04B9">
        <w:rPr>
          <w:rFonts w:cs="Times New Roman"/>
        </w:rPr>
        <w:t>IS series</w:t>
      </w:r>
      <w:r w:rsidR="0024057E" w:rsidRPr="003F04B9">
        <w:rPr>
          <w:rFonts w:cs="Times New Roman"/>
        </w:rPr>
        <w:t xml:space="preserve"> </w:t>
      </w:r>
      <w:r w:rsidR="00461C61" w:rsidRPr="003F04B9">
        <w:rPr>
          <w:rFonts w:cs="Times New Roman"/>
        </w:rPr>
        <w:t>is confirmed and</w:t>
      </w:r>
      <w:r w:rsidR="0024057E" w:rsidRPr="003F04B9">
        <w:rPr>
          <w:rFonts w:cs="Times New Roman"/>
        </w:rPr>
        <w:t xml:space="preserve"> announced by the B</w:t>
      </w:r>
      <w:r w:rsidR="007C13BC">
        <w:rPr>
          <w:rFonts w:cs="Times New Roman"/>
        </w:rPr>
        <w:t>ank</w:t>
      </w:r>
      <w:r w:rsidR="0024057E" w:rsidRPr="003F04B9">
        <w:rPr>
          <w:rFonts w:cs="Times New Roman"/>
        </w:rPr>
        <w:t xml:space="preserve"> of PNG on the second business</w:t>
      </w:r>
      <w:r w:rsidR="00461C61" w:rsidRPr="003F04B9">
        <w:rPr>
          <w:rFonts w:cs="Times New Roman"/>
        </w:rPr>
        <w:t xml:space="preserve"> day at of each month; and (iv) settlement of T+3 on Friday.</w:t>
      </w:r>
    </w:p>
    <w:p w14:paraId="6A647AD2" w14:textId="5C482BDF" w:rsidR="001B0F0A" w:rsidRPr="003F04B9" w:rsidRDefault="00A0060E" w:rsidP="00F04788">
      <w:pPr>
        <w:pStyle w:val="ListParagraph"/>
        <w:widowControl w:val="0"/>
        <w:numPr>
          <w:ilvl w:val="0"/>
          <w:numId w:val="2"/>
        </w:numPr>
        <w:spacing w:after="240"/>
        <w:ind w:left="0" w:firstLine="0"/>
        <w:contextualSpacing w:val="0"/>
        <w:jc w:val="both"/>
        <w:rPr>
          <w:rFonts w:cs="Times New Roman"/>
        </w:rPr>
      </w:pPr>
      <w:r w:rsidRPr="003F04B9">
        <w:rPr>
          <w:rFonts w:cs="Times New Roman"/>
        </w:rPr>
        <w:t>T</w:t>
      </w:r>
      <w:r w:rsidR="001B0F0A" w:rsidRPr="003F04B9">
        <w:rPr>
          <w:rFonts w:cs="Times New Roman"/>
        </w:rPr>
        <w:t xml:space="preserve">he issuance calendar for </w:t>
      </w:r>
      <w:r w:rsidR="00B7356A">
        <w:rPr>
          <w:rFonts w:cs="Times New Roman"/>
        </w:rPr>
        <w:t>GIS</w:t>
      </w:r>
      <w:r w:rsidR="001B0F0A" w:rsidRPr="003F04B9">
        <w:rPr>
          <w:rFonts w:cs="Times New Roman"/>
        </w:rPr>
        <w:t xml:space="preserve"> is based on projections</w:t>
      </w:r>
      <w:r w:rsidRPr="003F04B9">
        <w:rPr>
          <w:rFonts w:cs="Times New Roman"/>
        </w:rPr>
        <w:t xml:space="preserve"> in the annual budget and any changes will be made as part of the</w:t>
      </w:r>
      <w:r w:rsidR="001B0F0A" w:rsidRPr="003F04B9">
        <w:rPr>
          <w:rFonts w:cs="Times New Roman"/>
        </w:rPr>
        <w:t xml:space="preserve"> Supplementary Budget</w:t>
      </w:r>
      <w:r w:rsidRPr="003F04B9">
        <w:rPr>
          <w:rFonts w:cs="Times New Roman"/>
        </w:rPr>
        <w:t xml:space="preserve"> and notification of any potential changes will be announced accordingly. </w:t>
      </w:r>
      <w:r w:rsidR="001B0F0A" w:rsidRPr="003F04B9">
        <w:rPr>
          <w:rFonts w:cs="Times New Roman"/>
        </w:rPr>
        <w:tab/>
      </w:r>
    </w:p>
    <w:p w14:paraId="2BC8AE05" w14:textId="123B0B61" w:rsidR="001B0F0A" w:rsidRPr="003F04B9" w:rsidRDefault="001B0F0A" w:rsidP="00F04788">
      <w:pPr>
        <w:pStyle w:val="ListParagraph"/>
        <w:widowControl w:val="0"/>
        <w:numPr>
          <w:ilvl w:val="0"/>
          <w:numId w:val="2"/>
        </w:numPr>
        <w:spacing w:after="240"/>
        <w:ind w:left="0" w:firstLine="0"/>
        <w:contextualSpacing w:val="0"/>
        <w:jc w:val="both"/>
        <w:rPr>
          <w:rFonts w:cs="Times New Roman"/>
        </w:rPr>
      </w:pPr>
      <w:r w:rsidRPr="003F04B9">
        <w:rPr>
          <w:rFonts w:cs="Times New Roman"/>
        </w:rPr>
        <w:t xml:space="preserve">The annual issuance calendar is </w:t>
      </w:r>
      <w:r w:rsidR="006B2AF8">
        <w:rPr>
          <w:rFonts w:cs="Times New Roman"/>
        </w:rPr>
        <w:t xml:space="preserve">to be </w:t>
      </w:r>
      <w:r w:rsidRPr="003F04B9">
        <w:rPr>
          <w:rFonts w:cs="Times New Roman"/>
        </w:rPr>
        <w:t xml:space="preserve">updated on a quarterly basis for </w:t>
      </w:r>
      <w:r w:rsidR="00B7356A">
        <w:rPr>
          <w:rFonts w:cs="Times New Roman"/>
        </w:rPr>
        <w:t>GIS</w:t>
      </w:r>
      <w:r w:rsidR="00A0060E" w:rsidRPr="003F04B9">
        <w:rPr>
          <w:rFonts w:cs="Times New Roman"/>
        </w:rPr>
        <w:t>, which</w:t>
      </w:r>
      <w:r w:rsidR="002577DF">
        <w:rPr>
          <w:rFonts w:cs="Times New Roman"/>
        </w:rPr>
        <w:t xml:space="preserve"> indicates </w:t>
      </w:r>
      <w:r w:rsidR="00723510">
        <w:rPr>
          <w:rFonts w:cs="Times New Roman"/>
        </w:rPr>
        <w:t>each specific benchmark’s maturity</w:t>
      </w:r>
      <w:r w:rsidR="00681E1C">
        <w:rPr>
          <w:rFonts w:cs="Times New Roman"/>
        </w:rPr>
        <w:t>, amount,</w:t>
      </w:r>
      <w:r w:rsidR="00723510">
        <w:rPr>
          <w:rFonts w:cs="Times New Roman"/>
        </w:rPr>
        <w:t xml:space="preserve"> and a set coupon rate for the coming quarter.</w:t>
      </w:r>
      <w:r w:rsidRPr="003F04B9">
        <w:rPr>
          <w:rFonts w:cs="Times New Roman"/>
        </w:rPr>
        <w:t xml:space="preserve"> The actual auction dates have already been established in the annual issuance plan.  </w:t>
      </w:r>
      <w:r w:rsidR="00B7356A">
        <w:rPr>
          <w:rFonts w:cs="Times New Roman"/>
        </w:rPr>
        <w:t>GIS</w:t>
      </w:r>
      <w:r w:rsidRPr="003F04B9">
        <w:rPr>
          <w:rFonts w:cs="Times New Roman"/>
        </w:rPr>
        <w:t xml:space="preserve"> existing benchmark outstanding volumes are subsequently increased by “re-opening” auctions on a quarterly basis to establish liquid benchmarks</w:t>
      </w:r>
      <w:r w:rsidR="00B7356A">
        <w:rPr>
          <w:rFonts w:cs="Times New Roman"/>
        </w:rPr>
        <w:t>,</w:t>
      </w:r>
      <w:r w:rsidRPr="003F04B9">
        <w:rPr>
          <w:rFonts w:cs="Times New Roman"/>
        </w:rPr>
        <w:t xml:space="preserve"> but with due cause to refinancing risks. Inscribe</w:t>
      </w:r>
      <w:r w:rsidR="00723510">
        <w:rPr>
          <w:rFonts w:cs="Times New Roman"/>
        </w:rPr>
        <w:t xml:space="preserve">d Stocks are simultaneously auctioned </w:t>
      </w:r>
      <w:r w:rsidR="00723510" w:rsidRPr="003F04B9">
        <w:rPr>
          <w:rFonts w:cs="Times New Roman"/>
        </w:rPr>
        <w:t>e.g</w:t>
      </w:r>
      <w:r w:rsidRPr="003F04B9">
        <w:rPr>
          <w:rFonts w:cs="Times New Roman"/>
        </w:rPr>
        <w:t xml:space="preserve">. multiple maturities, to the public on the specific issuance dates. </w:t>
      </w:r>
    </w:p>
    <w:p w14:paraId="4CC8C697" w14:textId="633D4F9C" w:rsidR="00E44651" w:rsidRDefault="001B0F0A" w:rsidP="00F04788">
      <w:pPr>
        <w:pStyle w:val="ListParagraph"/>
        <w:widowControl w:val="0"/>
        <w:numPr>
          <w:ilvl w:val="0"/>
          <w:numId w:val="2"/>
        </w:numPr>
        <w:spacing w:after="240"/>
        <w:ind w:left="0" w:firstLine="0"/>
        <w:contextualSpacing w:val="0"/>
        <w:jc w:val="both"/>
        <w:rPr>
          <w:rFonts w:cs="Times New Roman"/>
        </w:rPr>
      </w:pPr>
      <w:r w:rsidRPr="000812B5">
        <w:rPr>
          <w:rFonts w:cs="Times New Roman"/>
        </w:rPr>
        <w:t>Treasury bills provide the Department of Treasury</w:t>
      </w:r>
      <w:r w:rsidRPr="0073438D">
        <w:rPr>
          <w:rFonts w:cs="Times New Roman"/>
        </w:rPr>
        <w:t xml:space="preserve"> with flexible funding tools to manage the government’s cash receipts and expenditures. Thus so, T-bill volumes can be </w:t>
      </w:r>
      <w:r w:rsidR="00B7356A" w:rsidRPr="0073438D">
        <w:rPr>
          <w:rFonts w:cs="Times New Roman"/>
        </w:rPr>
        <w:t xml:space="preserve">adjusted </w:t>
      </w:r>
      <w:r w:rsidRPr="0073438D">
        <w:rPr>
          <w:rFonts w:cs="Times New Roman"/>
        </w:rPr>
        <w:t>frequently and on a timely basis. The</w:t>
      </w:r>
      <w:r w:rsidR="00723510">
        <w:rPr>
          <w:rFonts w:cs="Times New Roman"/>
        </w:rPr>
        <w:t xml:space="preserve"> 2015 annual plan states</w:t>
      </w:r>
      <w:r w:rsidR="00E44651">
        <w:rPr>
          <w:rFonts w:cs="Times New Roman"/>
        </w:rPr>
        <w:t>: (</w:t>
      </w:r>
      <w:proofErr w:type="spellStart"/>
      <w:r w:rsidR="00E44651">
        <w:rPr>
          <w:rFonts w:cs="Times New Roman"/>
        </w:rPr>
        <w:t>i</w:t>
      </w:r>
      <w:proofErr w:type="spellEnd"/>
      <w:r w:rsidR="00E44651">
        <w:rPr>
          <w:rFonts w:cs="Times New Roman"/>
        </w:rPr>
        <w:t xml:space="preserve">) the Treasury T-bill issuance will mainly be 6-month &amp; 12-month </w:t>
      </w:r>
      <w:r w:rsidR="00377B25">
        <w:rPr>
          <w:rFonts w:cs="Times New Roman"/>
        </w:rPr>
        <w:t xml:space="preserve">securities </w:t>
      </w:r>
      <w:r w:rsidR="00E44651">
        <w:rPr>
          <w:rFonts w:cs="Times New Roman"/>
        </w:rPr>
        <w:t xml:space="preserve">with the possibility of 9-month securities; (ii) </w:t>
      </w:r>
      <w:r w:rsidR="00723510">
        <w:rPr>
          <w:rFonts w:cs="Times New Roman"/>
        </w:rPr>
        <w:t>at the beginning of each quarter Treasury will announce the amount of T-bills that will m</w:t>
      </w:r>
      <w:r w:rsidR="00377B25">
        <w:rPr>
          <w:rFonts w:cs="Times New Roman"/>
        </w:rPr>
        <w:t xml:space="preserve">ature </w:t>
      </w:r>
      <w:r w:rsidR="00723510">
        <w:rPr>
          <w:rFonts w:cs="Times New Roman"/>
        </w:rPr>
        <w:t xml:space="preserve">and the likely amount of </w:t>
      </w:r>
      <w:r w:rsidR="00E44651">
        <w:rPr>
          <w:rFonts w:cs="Times New Roman"/>
        </w:rPr>
        <w:t>T-bills to be offered at tender</w:t>
      </w:r>
      <w:r w:rsidR="00377B25">
        <w:rPr>
          <w:rFonts w:cs="Times New Roman"/>
        </w:rPr>
        <w:t>, over the next three months</w:t>
      </w:r>
      <w:r w:rsidR="00E44651">
        <w:rPr>
          <w:rFonts w:cs="Times New Roman"/>
        </w:rPr>
        <w:t xml:space="preserve">; and (iii) </w:t>
      </w:r>
      <w:r w:rsidR="00B7356A">
        <w:rPr>
          <w:rFonts w:cs="Times New Roman"/>
        </w:rPr>
        <w:t xml:space="preserve">the </w:t>
      </w:r>
      <w:r w:rsidR="00E44651">
        <w:rPr>
          <w:rFonts w:cs="Times New Roman"/>
        </w:rPr>
        <w:t>BPNG</w:t>
      </w:r>
      <w:r w:rsidR="00B7356A">
        <w:rPr>
          <w:rFonts w:cs="Times New Roman"/>
        </w:rPr>
        <w:t>,</w:t>
      </w:r>
      <w:r w:rsidR="00E44651">
        <w:rPr>
          <w:rFonts w:cs="Times New Roman"/>
        </w:rPr>
        <w:t xml:space="preserve"> as </w:t>
      </w:r>
      <w:r w:rsidR="00377B25">
        <w:rPr>
          <w:rFonts w:cs="Times New Roman"/>
        </w:rPr>
        <w:t>issuing agent</w:t>
      </w:r>
      <w:r w:rsidR="00B7356A">
        <w:rPr>
          <w:rFonts w:cs="Times New Roman"/>
        </w:rPr>
        <w:t>,</w:t>
      </w:r>
      <w:r w:rsidR="00377B25">
        <w:rPr>
          <w:rFonts w:cs="Times New Roman"/>
        </w:rPr>
        <w:t xml:space="preserve"> will announce</w:t>
      </w:r>
      <w:r w:rsidR="00E44651">
        <w:rPr>
          <w:rFonts w:cs="Times New Roman"/>
        </w:rPr>
        <w:t xml:space="preserve"> to investors by the close of business on Tuesdays the </w:t>
      </w:r>
      <w:r w:rsidR="00A711AB">
        <w:rPr>
          <w:rFonts w:cs="Times New Roman"/>
        </w:rPr>
        <w:t xml:space="preserve">confirmed </w:t>
      </w:r>
      <w:r w:rsidR="00E44651">
        <w:rPr>
          <w:rFonts w:cs="Times New Roman"/>
        </w:rPr>
        <w:t xml:space="preserve">amount and terms of T-bills to be sold the next </w:t>
      </w:r>
      <w:r w:rsidR="00377B25">
        <w:rPr>
          <w:rFonts w:cs="Times New Roman"/>
        </w:rPr>
        <w:t xml:space="preserve">business </w:t>
      </w:r>
      <w:r w:rsidR="00E44651">
        <w:rPr>
          <w:rFonts w:cs="Times New Roman"/>
        </w:rPr>
        <w:t xml:space="preserve">day (Wednesday). </w:t>
      </w:r>
      <w:r w:rsidR="00E44651" w:rsidRPr="0073438D">
        <w:rPr>
          <w:rFonts w:cs="Times New Roman"/>
        </w:rPr>
        <w:t xml:space="preserve">The medium-to-long part of the T-bill curve is reserved </w:t>
      </w:r>
      <w:r w:rsidR="007C13BC">
        <w:rPr>
          <w:rFonts w:cs="Times New Roman"/>
        </w:rPr>
        <w:t>for</w:t>
      </w:r>
      <w:r w:rsidR="00E44651" w:rsidRPr="0073438D">
        <w:rPr>
          <w:rFonts w:cs="Times New Roman"/>
        </w:rPr>
        <w:t xml:space="preserve"> the Department of Treasury (central bank bills will be discussed</w:t>
      </w:r>
      <w:r w:rsidR="00B7356A">
        <w:rPr>
          <w:rFonts w:cs="Times New Roman"/>
        </w:rPr>
        <w:t xml:space="preserve"> later in this report</w:t>
      </w:r>
      <w:r w:rsidR="00E44651" w:rsidRPr="0073438D">
        <w:rPr>
          <w:rFonts w:cs="Times New Roman"/>
        </w:rPr>
        <w:t>) with maturities of 182-days and 364-days.</w:t>
      </w:r>
    </w:p>
    <w:p w14:paraId="4D77615A" w14:textId="77777777" w:rsidR="001B0F0A" w:rsidRPr="0073438D" w:rsidRDefault="001B0F0A" w:rsidP="00F04788">
      <w:pPr>
        <w:pStyle w:val="ListParagraph"/>
        <w:widowControl w:val="0"/>
        <w:numPr>
          <w:ilvl w:val="0"/>
          <w:numId w:val="2"/>
        </w:numPr>
        <w:spacing w:after="240"/>
        <w:ind w:left="0" w:firstLine="0"/>
        <w:contextualSpacing w:val="0"/>
        <w:jc w:val="both"/>
        <w:rPr>
          <w:rFonts w:cs="Times New Roman"/>
        </w:rPr>
      </w:pPr>
      <w:r w:rsidRPr="0073438D">
        <w:rPr>
          <w:rFonts w:cs="Times New Roman"/>
        </w:rPr>
        <w:t>The Public Debt Committee</w:t>
      </w:r>
      <w:r w:rsidR="002577DF">
        <w:rPr>
          <w:rFonts w:cs="Times New Roman"/>
        </w:rPr>
        <w:t xml:space="preserve"> (PDC)</w:t>
      </w:r>
      <w:r w:rsidRPr="0073438D">
        <w:rPr>
          <w:rFonts w:cs="Times New Roman"/>
        </w:rPr>
        <w:t xml:space="preserve"> meets every Tuesday to assess to cash needs of the central government at which time the PDC formulates a T-bill issuance plan by determining maturities and amounts on offer. Upon the PDC’s resolution to issue T-bills</w:t>
      </w:r>
      <w:r w:rsidR="00B7356A">
        <w:rPr>
          <w:rFonts w:cs="Times New Roman"/>
        </w:rPr>
        <w:t>,</w:t>
      </w:r>
      <w:r w:rsidRPr="0073438D">
        <w:rPr>
          <w:rFonts w:cs="Times New Roman"/>
        </w:rPr>
        <w:t xml:space="preserve"> it receives approval from the committee’s Chairman and in the absence of the Chairman it receives the Deputy Chairman’s approval. Thereafter, the issuance plan is sent to the central bank for announcement to registered bidders that same day (Tuesday) and T-bills </w:t>
      </w:r>
      <w:r w:rsidR="00B7356A">
        <w:rPr>
          <w:rFonts w:cs="Times New Roman"/>
        </w:rPr>
        <w:t xml:space="preserve">are </w:t>
      </w:r>
      <w:r w:rsidRPr="0073438D">
        <w:rPr>
          <w:rFonts w:cs="Times New Roman"/>
        </w:rPr>
        <w:t>auctioned the next business day (Wednesday).</w:t>
      </w:r>
    </w:p>
    <w:p w14:paraId="77DE9302" w14:textId="0340082A" w:rsidR="006B2AF8" w:rsidRPr="00231624" w:rsidRDefault="001B0F0A" w:rsidP="00F04788">
      <w:pPr>
        <w:pStyle w:val="ListParagraph"/>
        <w:widowControl w:val="0"/>
        <w:numPr>
          <w:ilvl w:val="0"/>
          <w:numId w:val="2"/>
        </w:numPr>
        <w:spacing w:after="240"/>
        <w:ind w:left="0" w:firstLine="0"/>
        <w:contextualSpacing w:val="0"/>
        <w:jc w:val="both"/>
        <w:rPr>
          <w:rFonts w:cs="Times New Roman"/>
        </w:rPr>
      </w:pPr>
      <w:r w:rsidRPr="0073438D">
        <w:rPr>
          <w:rFonts w:cs="Times New Roman"/>
        </w:rPr>
        <w:lastRenderedPageBreak/>
        <w:t>The mechanisms for the sale and distribution</w:t>
      </w:r>
      <w:r w:rsidR="000812B5">
        <w:rPr>
          <w:rFonts w:cs="Times New Roman"/>
        </w:rPr>
        <w:t xml:space="preserve"> of government securities are mostly</w:t>
      </w:r>
      <w:r w:rsidR="0007197B">
        <w:rPr>
          <w:rFonts w:cs="Times New Roman"/>
        </w:rPr>
        <w:t xml:space="preserve"> market-</w:t>
      </w:r>
      <w:r w:rsidRPr="0073438D">
        <w:rPr>
          <w:rFonts w:cs="Times New Roman"/>
        </w:rPr>
        <w:t xml:space="preserve">based auctions </w:t>
      </w:r>
      <w:r w:rsidR="000812B5">
        <w:rPr>
          <w:rFonts w:cs="Times New Roman"/>
        </w:rPr>
        <w:t>with occasional</w:t>
      </w:r>
      <w:r w:rsidRPr="000812B5">
        <w:rPr>
          <w:rFonts w:cs="Times New Roman"/>
        </w:rPr>
        <w:t xml:space="preserve"> private placement</w:t>
      </w:r>
      <w:r w:rsidR="000812B5">
        <w:rPr>
          <w:rFonts w:cs="Times New Roman"/>
        </w:rPr>
        <w:t>s</w:t>
      </w:r>
      <w:r w:rsidRPr="0073438D">
        <w:rPr>
          <w:rFonts w:cs="Times New Roman"/>
        </w:rPr>
        <w:t xml:space="preserve"> for a select </w:t>
      </w:r>
      <w:r w:rsidR="006B2AF8">
        <w:rPr>
          <w:rFonts w:cs="Times New Roman"/>
        </w:rPr>
        <w:t xml:space="preserve">institutional </w:t>
      </w:r>
      <w:r w:rsidR="00DF14F1">
        <w:rPr>
          <w:rFonts w:cs="Times New Roman"/>
        </w:rPr>
        <w:t>investor class</w:t>
      </w:r>
      <w:r w:rsidR="006B2AF8">
        <w:rPr>
          <w:rFonts w:cs="Times New Roman"/>
        </w:rPr>
        <w:t xml:space="preserve">. </w:t>
      </w:r>
      <w:r w:rsidRPr="0073438D">
        <w:rPr>
          <w:rFonts w:cs="Times New Roman"/>
        </w:rPr>
        <w:t>Government securities auction tenders are based on a competitive and multiple-priced format. Bids are submitted on a yield basis.</w:t>
      </w:r>
      <w:r w:rsidR="00A711AB">
        <w:rPr>
          <w:rFonts w:cs="Times New Roman"/>
        </w:rPr>
        <w:t xml:space="preserve"> The BPNG</w:t>
      </w:r>
      <w:r w:rsidR="006F774E" w:rsidRPr="0073438D">
        <w:rPr>
          <w:rFonts w:cs="Times New Roman"/>
        </w:rPr>
        <w:t xml:space="preserve"> opens the aucti</w:t>
      </w:r>
      <w:r w:rsidR="00ED2119">
        <w:rPr>
          <w:rFonts w:cs="Times New Roman"/>
        </w:rPr>
        <w:t xml:space="preserve">on bidding at 9 am and closes </w:t>
      </w:r>
      <w:r w:rsidR="00367BBB">
        <w:rPr>
          <w:rFonts w:cs="Times New Roman"/>
        </w:rPr>
        <w:t xml:space="preserve">the auction at </w:t>
      </w:r>
      <w:r w:rsidR="00ED2119">
        <w:rPr>
          <w:rFonts w:cs="Times New Roman"/>
        </w:rPr>
        <w:t xml:space="preserve">11am for T-bills and 12pm for </w:t>
      </w:r>
      <w:r w:rsidR="00684EAD">
        <w:rPr>
          <w:rFonts w:cs="Times New Roman"/>
        </w:rPr>
        <w:t>G</w:t>
      </w:r>
      <w:r w:rsidR="00ED2119">
        <w:rPr>
          <w:rFonts w:cs="Times New Roman"/>
        </w:rPr>
        <w:t>IS,</w:t>
      </w:r>
      <w:r w:rsidR="006F774E" w:rsidRPr="0073438D">
        <w:rPr>
          <w:rFonts w:cs="Times New Roman"/>
        </w:rPr>
        <w:t xml:space="preserve"> with auction results announced same day roughly </w:t>
      </w:r>
      <w:r w:rsidR="00367BBB">
        <w:rPr>
          <w:rFonts w:cs="Times New Roman"/>
        </w:rPr>
        <w:t xml:space="preserve">by </w:t>
      </w:r>
      <w:r w:rsidR="006F774E" w:rsidRPr="0073438D">
        <w:rPr>
          <w:rFonts w:cs="Times New Roman"/>
        </w:rPr>
        <w:t>mid</w:t>
      </w:r>
      <w:r w:rsidR="00367BBB">
        <w:rPr>
          <w:rFonts w:cs="Times New Roman"/>
        </w:rPr>
        <w:t>-</w:t>
      </w:r>
      <w:r w:rsidR="006F774E" w:rsidRPr="0073438D">
        <w:rPr>
          <w:rFonts w:cs="Times New Roman"/>
        </w:rPr>
        <w:t>afternoo</w:t>
      </w:r>
      <w:r w:rsidR="00231624">
        <w:rPr>
          <w:rFonts w:ascii="Times" w:hAnsi="Times" w:cs="Times"/>
          <w:color w:val="1A1A1A"/>
        </w:rPr>
        <w:t>n</w:t>
      </w:r>
      <w:r w:rsidR="006B2AF8">
        <w:rPr>
          <w:rFonts w:ascii="Times" w:hAnsi="Times" w:cs="Times"/>
          <w:color w:val="1A1A1A"/>
          <w:sz w:val="26"/>
          <w:szCs w:val="26"/>
        </w:rPr>
        <w:t>.</w:t>
      </w:r>
    </w:p>
    <w:p w14:paraId="30BAA159" w14:textId="41B6A4E1" w:rsidR="00231624" w:rsidRPr="00DF14F1" w:rsidRDefault="00231624" w:rsidP="00F04788">
      <w:pPr>
        <w:pStyle w:val="ListParagraph"/>
        <w:widowControl w:val="0"/>
        <w:numPr>
          <w:ilvl w:val="0"/>
          <w:numId w:val="2"/>
        </w:numPr>
        <w:spacing w:after="240"/>
        <w:ind w:left="0" w:firstLine="0"/>
        <w:contextualSpacing w:val="0"/>
        <w:jc w:val="both"/>
        <w:rPr>
          <w:rFonts w:cs="Times New Roman"/>
        </w:rPr>
      </w:pPr>
      <w:r w:rsidRPr="00231624">
        <w:rPr>
          <w:rFonts w:cs="Times New Roman"/>
        </w:rPr>
        <w:t>Currently non-competitive bids</w:t>
      </w:r>
      <w:r w:rsidR="0007197B">
        <w:rPr>
          <w:rStyle w:val="FootnoteReference"/>
          <w:rFonts w:cs="Times New Roman"/>
        </w:rPr>
        <w:footnoteReference w:id="18"/>
      </w:r>
      <w:r w:rsidRPr="00231624">
        <w:rPr>
          <w:rFonts w:cs="Times New Roman"/>
        </w:rPr>
        <w:t xml:space="preserve"> for retail investors and small and medium sized entities</w:t>
      </w:r>
      <w:r>
        <w:rPr>
          <w:rFonts w:cs="Times New Roman"/>
        </w:rPr>
        <w:t xml:space="preserve"> </w:t>
      </w:r>
      <w:r w:rsidR="005035E0">
        <w:rPr>
          <w:rFonts w:cs="Times New Roman"/>
        </w:rPr>
        <w:t>are</w:t>
      </w:r>
      <w:r>
        <w:rPr>
          <w:rFonts w:cs="Times New Roman"/>
        </w:rPr>
        <w:t xml:space="preserve"> not permissib</w:t>
      </w:r>
      <w:r w:rsidR="00A711AB">
        <w:rPr>
          <w:rFonts w:cs="Times New Roman"/>
        </w:rPr>
        <w:t>le. However, BPNG</w:t>
      </w:r>
      <w:r>
        <w:rPr>
          <w:rFonts w:cs="Times New Roman"/>
        </w:rPr>
        <w:t xml:space="preserve"> </w:t>
      </w:r>
      <w:r w:rsidR="003E6354">
        <w:rPr>
          <w:rFonts w:cs="Times New Roman"/>
          <w:i/>
        </w:rPr>
        <w:t>Tap F</w:t>
      </w:r>
      <w:r w:rsidRPr="00A711AB">
        <w:rPr>
          <w:rFonts w:cs="Times New Roman"/>
          <w:i/>
        </w:rPr>
        <w:t xml:space="preserve">acility </w:t>
      </w:r>
      <w:r w:rsidRPr="00A711AB">
        <w:rPr>
          <w:rFonts w:cs="Times New Roman"/>
        </w:rPr>
        <w:t>is</w:t>
      </w:r>
      <w:r>
        <w:rPr>
          <w:rFonts w:cs="Times New Roman"/>
        </w:rPr>
        <w:t xml:space="preserve"> similar to non-competitive bids, </w:t>
      </w:r>
      <w:r w:rsidR="00A711AB">
        <w:rPr>
          <w:rFonts w:cs="Times New Roman"/>
        </w:rPr>
        <w:t>(</w:t>
      </w:r>
      <w:r>
        <w:rPr>
          <w:rFonts w:cs="Times New Roman"/>
        </w:rPr>
        <w:t>see central bank bills</w:t>
      </w:r>
      <w:r w:rsidR="00A711AB">
        <w:rPr>
          <w:rFonts w:cs="Times New Roman"/>
        </w:rPr>
        <w:t>)</w:t>
      </w:r>
      <w:r>
        <w:rPr>
          <w:rFonts w:cs="Times New Roman"/>
        </w:rPr>
        <w:t>.</w:t>
      </w:r>
    </w:p>
    <w:p w14:paraId="02CCA349" w14:textId="4A85E5E9" w:rsidR="001B0F0A" w:rsidRDefault="001B0F0A" w:rsidP="00F04788">
      <w:pPr>
        <w:pStyle w:val="ListParagraph"/>
        <w:widowControl w:val="0"/>
        <w:numPr>
          <w:ilvl w:val="0"/>
          <w:numId w:val="2"/>
        </w:numPr>
        <w:spacing w:after="240"/>
        <w:ind w:left="0" w:firstLine="0"/>
        <w:contextualSpacing w:val="0"/>
        <w:jc w:val="both"/>
        <w:rPr>
          <w:rFonts w:cs="Times New Roman"/>
        </w:rPr>
      </w:pPr>
      <w:r w:rsidRPr="0073438D">
        <w:rPr>
          <w:rFonts w:cs="Times New Roman"/>
        </w:rPr>
        <w:t>Eligible bidders must be registered (“registered bidders”) with the Department of Treasury’s issuance agent, the B</w:t>
      </w:r>
      <w:r w:rsidR="00367BBB">
        <w:rPr>
          <w:rFonts w:cs="Times New Roman"/>
        </w:rPr>
        <w:t>PNG</w:t>
      </w:r>
      <w:r w:rsidRPr="0073438D">
        <w:rPr>
          <w:rFonts w:cs="Times New Roman"/>
        </w:rPr>
        <w:t>. The minimum starting bid is PGK100, 000, and subsequ</w:t>
      </w:r>
      <w:r w:rsidR="00DF14F1">
        <w:rPr>
          <w:rFonts w:cs="Times New Roman"/>
        </w:rPr>
        <w:t xml:space="preserve">ent bids </w:t>
      </w:r>
      <w:r w:rsidR="00367BBB">
        <w:rPr>
          <w:rFonts w:cs="Times New Roman"/>
        </w:rPr>
        <w:t xml:space="preserve">are </w:t>
      </w:r>
      <w:r w:rsidR="00DF14F1">
        <w:rPr>
          <w:rFonts w:cs="Times New Roman"/>
        </w:rPr>
        <w:t>in multiples of PGK10</w:t>
      </w:r>
      <w:proofErr w:type="gramStart"/>
      <w:r w:rsidR="00DF14F1">
        <w:rPr>
          <w:rFonts w:cs="Times New Roman"/>
        </w:rPr>
        <w:t>,</w:t>
      </w:r>
      <w:r w:rsidRPr="0073438D">
        <w:rPr>
          <w:rFonts w:cs="Times New Roman"/>
        </w:rPr>
        <w:t>000</w:t>
      </w:r>
      <w:proofErr w:type="gramEnd"/>
      <w:r w:rsidRPr="0073438D">
        <w:rPr>
          <w:rFonts w:cs="Times New Roman"/>
        </w:rPr>
        <w:t xml:space="preserve">. </w:t>
      </w:r>
      <w:r w:rsidR="00856657">
        <w:rPr>
          <w:rFonts w:cs="Times New Roman"/>
        </w:rPr>
        <w:t xml:space="preserve">Registered bidders can submit their tenders through e-mail </w:t>
      </w:r>
      <w:r w:rsidR="00684EAD">
        <w:rPr>
          <w:rFonts w:cs="Times New Roman"/>
        </w:rPr>
        <w:t xml:space="preserve">directly </w:t>
      </w:r>
      <w:r w:rsidR="00856657">
        <w:rPr>
          <w:rFonts w:cs="Times New Roman"/>
        </w:rPr>
        <w:t xml:space="preserve">to the BPNG. </w:t>
      </w:r>
      <w:r w:rsidRPr="0073438D">
        <w:rPr>
          <w:rFonts w:cs="Times New Roman"/>
        </w:rPr>
        <w:t xml:space="preserve">Retail investors </w:t>
      </w:r>
      <w:r w:rsidR="00856657">
        <w:rPr>
          <w:rFonts w:cs="Times New Roman"/>
        </w:rPr>
        <w:t xml:space="preserve">and non-registered bidders </w:t>
      </w:r>
      <w:r w:rsidR="005657DA">
        <w:rPr>
          <w:rFonts w:cs="Times New Roman"/>
        </w:rPr>
        <w:t xml:space="preserve">for T-bills </w:t>
      </w:r>
      <w:r w:rsidR="00856657">
        <w:rPr>
          <w:rFonts w:cs="Times New Roman"/>
        </w:rPr>
        <w:t xml:space="preserve">can </w:t>
      </w:r>
      <w:r w:rsidR="00856657" w:rsidRPr="0073438D">
        <w:rPr>
          <w:rFonts w:cs="Times New Roman"/>
        </w:rPr>
        <w:t xml:space="preserve">place bids for the nominal amount by way of a </w:t>
      </w:r>
      <w:proofErr w:type="spellStart"/>
      <w:r w:rsidR="00856657" w:rsidRPr="0073438D">
        <w:rPr>
          <w:rFonts w:cs="Times New Roman"/>
        </w:rPr>
        <w:t>cheque</w:t>
      </w:r>
      <w:proofErr w:type="spellEnd"/>
      <w:r w:rsidR="00856657" w:rsidRPr="0073438D">
        <w:rPr>
          <w:rFonts w:cs="Times New Roman"/>
        </w:rPr>
        <w:t xml:space="preserve"> attached to the tender</w:t>
      </w:r>
      <w:r w:rsidR="00856657">
        <w:rPr>
          <w:rFonts w:cs="Times New Roman"/>
        </w:rPr>
        <w:t xml:space="preserve"> directly with </w:t>
      </w:r>
      <w:r w:rsidR="00367BBB">
        <w:rPr>
          <w:rFonts w:cs="Times New Roman"/>
        </w:rPr>
        <w:t xml:space="preserve">the </w:t>
      </w:r>
      <w:r w:rsidR="00856657">
        <w:rPr>
          <w:rFonts w:cs="Times New Roman"/>
        </w:rPr>
        <w:t>BPNG</w:t>
      </w:r>
      <w:r w:rsidR="00684EAD">
        <w:rPr>
          <w:rFonts w:cs="Times New Roman"/>
        </w:rPr>
        <w:t xml:space="preserve">, but </w:t>
      </w:r>
      <w:r w:rsidR="00367BBB">
        <w:rPr>
          <w:rFonts w:cs="Times New Roman"/>
        </w:rPr>
        <w:t xml:space="preserve">this </w:t>
      </w:r>
      <w:r w:rsidR="00684EAD">
        <w:rPr>
          <w:rFonts w:cs="Times New Roman"/>
        </w:rPr>
        <w:t>rarely occurs</w:t>
      </w:r>
      <w:r w:rsidR="005657DA">
        <w:rPr>
          <w:rFonts w:cs="Times New Roman"/>
        </w:rPr>
        <w:t>. For</w:t>
      </w:r>
      <w:r w:rsidRPr="0073438D">
        <w:rPr>
          <w:rFonts w:cs="Times New Roman"/>
        </w:rPr>
        <w:t xml:space="preserve"> </w:t>
      </w:r>
      <w:r w:rsidR="00367BBB">
        <w:rPr>
          <w:rFonts w:cs="Times New Roman"/>
        </w:rPr>
        <w:t>GIS</w:t>
      </w:r>
      <w:r w:rsidRPr="0073438D">
        <w:rPr>
          <w:rFonts w:cs="Times New Roman"/>
        </w:rPr>
        <w:t xml:space="preserve"> </w:t>
      </w:r>
      <w:r w:rsidR="000812B5">
        <w:rPr>
          <w:rFonts w:cs="Times New Roman"/>
        </w:rPr>
        <w:t>n</w:t>
      </w:r>
      <w:r w:rsidR="00A711AB">
        <w:rPr>
          <w:rFonts w:cs="Times New Roman"/>
        </w:rPr>
        <w:t xml:space="preserve">on-registered and </w:t>
      </w:r>
      <w:r w:rsidR="005657DA">
        <w:rPr>
          <w:rFonts w:cs="Times New Roman"/>
        </w:rPr>
        <w:t xml:space="preserve">retail bids must go </w:t>
      </w:r>
      <w:r w:rsidRPr="0073438D">
        <w:rPr>
          <w:rFonts w:cs="Times New Roman"/>
        </w:rPr>
        <w:t xml:space="preserve">through registered bidders. </w:t>
      </w:r>
    </w:p>
    <w:p w14:paraId="7FA0D3B9" w14:textId="1537C31A" w:rsidR="006D6C98" w:rsidRPr="0073438D" w:rsidRDefault="006D6C98" w:rsidP="00F04788">
      <w:pPr>
        <w:pStyle w:val="ListParagraph"/>
        <w:widowControl w:val="0"/>
        <w:numPr>
          <w:ilvl w:val="0"/>
          <w:numId w:val="2"/>
        </w:numPr>
        <w:spacing w:after="240"/>
        <w:ind w:left="0" w:firstLine="0"/>
        <w:contextualSpacing w:val="0"/>
        <w:jc w:val="both"/>
        <w:rPr>
          <w:rFonts w:cs="Times New Roman"/>
        </w:rPr>
      </w:pPr>
      <w:r w:rsidRPr="0073438D">
        <w:rPr>
          <w:rFonts w:cs="Times New Roman"/>
        </w:rPr>
        <w:t xml:space="preserve">The central bank’s Financial Market Department reviews T-bill and </w:t>
      </w:r>
      <w:r w:rsidR="00684EAD">
        <w:rPr>
          <w:rFonts w:cs="Times New Roman"/>
        </w:rPr>
        <w:t>G</w:t>
      </w:r>
      <w:r w:rsidRPr="0073438D">
        <w:rPr>
          <w:rFonts w:cs="Times New Roman"/>
        </w:rPr>
        <w:t xml:space="preserve">IS tenders, then sets the auction cutoff and allocates tender awards. The bids of both T-bills and </w:t>
      </w:r>
      <w:r w:rsidR="002C55A9">
        <w:rPr>
          <w:rFonts w:cs="Times New Roman"/>
        </w:rPr>
        <w:t>GIS</w:t>
      </w:r>
      <w:r w:rsidRPr="0073438D">
        <w:rPr>
          <w:rFonts w:cs="Times New Roman"/>
        </w:rPr>
        <w:t xml:space="preserve"> are reviewed and allocated on the basis of adherence with auction rules and convention.</w:t>
      </w:r>
      <w:r w:rsidR="00A711AB">
        <w:rPr>
          <w:rFonts w:cs="Times New Roman"/>
        </w:rPr>
        <w:t xml:space="preserve"> The allocated bids are sent to the Treasury’s Financial Management Division for approval.</w:t>
      </w:r>
    </w:p>
    <w:p w14:paraId="57E766DB" w14:textId="77777777" w:rsidR="006D6C98" w:rsidRDefault="006D6C98" w:rsidP="00F04788">
      <w:pPr>
        <w:pStyle w:val="ListParagraph"/>
        <w:widowControl w:val="0"/>
        <w:numPr>
          <w:ilvl w:val="0"/>
          <w:numId w:val="2"/>
        </w:numPr>
        <w:spacing w:after="240"/>
        <w:ind w:left="0" w:firstLine="0"/>
        <w:contextualSpacing w:val="0"/>
        <w:jc w:val="both"/>
        <w:rPr>
          <w:rFonts w:cs="Times New Roman"/>
        </w:rPr>
      </w:pPr>
      <w:r w:rsidRPr="0073438D">
        <w:rPr>
          <w:rFonts w:cs="Times New Roman"/>
        </w:rPr>
        <w:t xml:space="preserve">Auction results are released to registered bidders by the central bank and posted in the media and published on the Treasury and </w:t>
      </w:r>
      <w:r w:rsidR="002C55A9">
        <w:rPr>
          <w:rFonts w:cs="Times New Roman"/>
        </w:rPr>
        <w:t xml:space="preserve">the </w:t>
      </w:r>
      <w:r w:rsidRPr="0073438D">
        <w:rPr>
          <w:rFonts w:cs="Times New Roman"/>
        </w:rPr>
        <w:t xml:space="preserve">BPNG’s websites. The auction results includes: security on offer, total offering amount, bid amounts received; amount allocated, minimum, maximum, and </w:t>
      </w:r>
      <w:r w:rsidR="002C55A9">
        <w:rPr>
          <w:rFonts w:cs="Times New Roman"/>
        </w:rPr>
        <w:t xml:space="preserve">the </w:t>
      </w:r>
      <w:r w:rsidRPr="0073438D">
        <w:rPr>
          <w:rFonts w:cs="Times New Roman"/>
        </w:rPr>
        <w:t xml:space="preserve">weighed average of accepted yields. </w:t>
      </w:r>
    </w:p>
    <w:p w14:paraId="6361B9B2" w14:textId="77777777" w:rsidR="006D6C98" w:rsidRPr="0073438D" w:rsidRDefault="006D6C98" w:rsidP="00F04788">
      <w:pPr>
        <w:pStyle w:val="ListParagraph"/>
        <w:widowControl w:val="0"/>
        <w:numPr>
          <w:ilvl w:val="0"/>
          <w:numId w:val="2"/>
        </w:numPr>
        <w:spacing w:after="240"/>
        <w:ind w:left="0" w:firstLine="0"/>
        <w:contextualSpacing w:val="0"/>
        <w:jc w:val="both"/>
        <w:rPr>
          <w:rFonts w:cs="Times New Roman"/>
        </w:rPr>
      </w:pPr>
      <w:r w:rsidRPr="0073438D">
        <w:rPr>
          <w:rFonts w:cs="Times New Roman"/>
        </w:rPr>
        <w:t>Information relating to auction information and process is published on the Department of Treasury’s website. The following publications provide information on auction and settlement processes of government securities:</w:t>
      </w:r>
    </w:p>
    <w:p w14:paraId="371DCF36" w14:textId="77777777" w:rsidR="006D6C98" w:rsidRPr="0073438D" w:rsidRDefault="006D6C98" w:rsidP="006D6C98">
      <w:pPr>
        <w:pStyle w:val="BulletsADB"/>
        <w:rPr>
          <w:rFonts w:ascii="Times New Roman" w:eastAsiaTheme="minorEastAsia" w:hAnsi="Times New Roman" w:cs="Times New Roman"/>
          <w:bCs w:val="0"/>
          <w:lang w:eastAsia="ja-JP"/>
        </w:rPr>
      </w:pPr>
      <w:r w:rsidRPr="0073438D">
        <w:rPr>
          <w:rFonts w:ascii="Times New Roman" w:eastAsiaTheme="minorEastAsia" w:hAnsi="Times New Roman" w:cs="Times New Roman"/>
          <w:bCs w:val="0"/>
          <w:lang w:eastAsia="ja-JP"/>
        </w:rPr>
        <w:t>Inscribed Stock- Information Memorandum;</w:t>
      </w:r>
    </w:p>
    <w:p w14:paraId="0DA31387" w14:textId="77777777" w:rsidR="006D6C98" w:rsidRPr="0073438D" w:rsidRDefault="006D6C98" w:rsidP="006D6C98">
      <w:pPr>
        <w:pStyle w:val="BulletsADB"/>
        <w:rPr>
          <w:rFonts w:ascii="Times New Roman" w:eastAsiaTheme="minorEastAsia" w:hAnsi="Times New Roman" w:cs="Times New Roman"/>
          <w:bCs w:val="0"/>
          <w:lang w:eastAsia="ja-JP"/>
        </w:rPr>
      </w:pPr>
      <w:r w:rsidRPr="0073438D">
        <w:rPr>
          <w:rFonts w:ascii="Times New Roman" w:eastAsiaTheme="minorEastAsia" w:hAnsi="Times New Roman" w:cs="Times New Roman"/>
          <w:bCs w:val="0"/>
          <w:lang w:eastAsia="ja-JP"/>
        </w:rPr>
        <w:t>Treasury Bills- Terms and Conditions;</w:t>
      </w:r>
    </w:p>
    <w:p w14:paraId="4430CB67" w14:textId="77777777" w:rsidR="001E0F28" w:rsidRPr="00684EAD" w:rsidRDefault="006D6C98" w:rsidP="00684EAD">
      <w:pPr>
        <w:pStyle w:val="BulletsADB"/>
        <w:rPr>
          <w:rFonts w:cs="Times New Roman"/>
        </w:rPr>
      </w:pPr>
      <w:r w:rsidRPr="0073438D">
        <w:rPr>
          <w:rFonts w:ascii="Times New Roman" w:eastAsiaTheme="minorEastAsia" w:hAnsi="Times New Roman" w:cs="Times New Roman"/>
          <w:bCs w:val="0"/>
          <w:lang w:eastAsia="ja-JP"/>
        </w:rPr>
        <w:t>Information for Registered Bidders on Auctions</w:t>
      </w:r>
      <w:r w:rsidR="00A711AB">
        <w:rPr>
          <w:rFonts w:ascii="Times New Roman" w:eastAsiaTheme="minorEastAsia" w:hAnsi="Times New Roman" w:cs="Times New Roman"/>
          <w:bCs w:val="0"/>
          <w:lang w:eastAsia="ja-JP"/>
        </w:rPr>
        <w:t>.</w:t>
      </w:r>
    </w:p>
    <w:p w14:paraId="1EF81273" w14:textId="77777777" w:rsidR="001C1CF7" w:rsidRPr="008F7368" w:rsidRDefault="00231624" w:rsidP="006D6C98">
      <w:pPr>
        <w:widowControl w:val="0"/>
        <w:spacing w:after="240"/>
        <w:jc w:val="both"/>
        <w:rPr>
          <w:rFonts w:cs="Times New Roman"/>
          <w:i/>
          <w:u w:val="single"/>
        </w:rPr>
      </w:pPr>
      <w:r w:rsidRPr="008F7368">
        <w:rPr>
          <w:rFonts w:cs="Times New Roman"/>
          <w:i/>
          <w:u w:val="single"/>
        </w:rPr>
        <w:t>Primary Market Recent Condition</w:t>
      </w:r>
      <w:r w:rsidR="00684EAD" w:rsidRPr="008F7368">
        <w:rPr>
          <w:rFonts w:cs="Times New Roman"/>
          <w:i/>
          <w:u w:val="single"/>
        </w:rPr>
        <w:t>-</w:t>
      </w:r>
    </w:p>
    <w:p w14:paraId="2DE88C10" w14:textId="77777777" w:rsidR="001C1CF7" w:rsidRDefault="001C1CF7" w:rsidP="00F04788">
      <w:pPr>
        <w:pStyle w:val="ListParagraph"/>
        <w:widowControl w:val="0"/>
        <w:numPr>
          <w:ilvl w:val="0"/>
          <w:numId w:val="2"/>
        </w:numPr>
        <w:spacing w:after="240"/>
        <w:ind w:left="0" w:firstLine="0"/>
        <w:contextualSpacing w:val="0"/>
        <w:jc w:val="both"/>
        <w:rPr>
          <w:rFonts w:cs="Times New Roman"/>
          <w:i/>
        </w:rPr>
      </w:pPr>
      <w:r>
        <w:rPr>
          <w:rFonts w:cs="Times New Roman"/>
        </w:rPr>
        <w:t>The</w:t>
      </w:r>
      <w:r w:rsidRPr="00A862A0">
        <w:rPr>
          <w:rFonts w:cs="Times New Roman"/>
        </w:rPr>
        <w:t xml:space="preserve"> primary market</w:t>
      </w:r>
      <w:r>
        <w:rPr>
          <w:rFonts w:cs="Times New Roman"/>
        </w:rPr>
        <w:t xml:space="preserve"> remains manual and physical where registered bidders, primarily commercial bank</w:t>
      </w:r>
      <w:r w:rsidR="002C55A9">
        <w:rPr>
          <w:rFonts w:cs="Times New Roman"/>
        </w:rPr>
        <w:t>s</w:t>
      </w:r>
      <w:r>
        <w:rPr>
          <w:rFonts w:cs="Times New Roman"/>
        </w:rPr>
        <w:t xml:space="preserve"> place bids, usually through e-mail, </w:t>
      </w:r>
      <w:r w:rsidRPr="00A862A0">
        <w:rPr>
          <w:rFonts w:cs="Times New Roman"/>
        </w:rPr>
        <w:t>without ac</w:t>
      </w:r>
      <w:r>
        <w:rPr>
          <w:rFonts w:cs="Times New Roman"/>
        </w:rPr>
        <w:t xml:space="preserve">companying payment instructions, while other non-registered bidders </w:t>
      </w:r>
      <w:r w:rsidRPr="00A862A0">
        <w:rPr>
          <w:rFonts w:cs="Times New Roman"/>
        </w:rPr>
        <w:t xml:space="preserve">submit </w:t>
      </w:r>
      <w:r>
        <w:rPr>
          <w:rFonts w:cs="Times New Roman"/>
        </w:rPr>
        <w:t xml:space="preserve">physical </w:t>
      </w:r>
      <w:proofErr w:type="spellStart"/>
      <w:r w:rsidRPr="00A862A0">
        <w:rPr>
          <w:rFonts w:cs="Times New Roman"/>
        </w:rPr>
        <w:t>cheques</w:t>
      </w:r>
      <w:proofErr w:type="spellEnd"/>
      <w:r w:rsidRPr="00A862A0">
        <w:rPr>
          <w:rFonts w:cs="Times New Roman"/>
        </w:rPr>
        <w:t xml:space="preserve"> </w:t>
      </w:r>
      <w:r>
        <w:rPr>
          <w:rFonts w:cs="Times New Roman"/>
        </w:rPr>
        <w:t xml:space="preserve">at the central bank </w:t>
      </w:r>
      <w:r w:rsidRPr="00A862A0">
        <w:rPr>
          <w:rFonts w:cs="Times New Roman"/>
        </w:rPr>
        <w:t>along with the bidding documents.</w:t>
      </w:r>
      <w:r>
        <w:rPr>
          <w:rFonts w:cs="Times New Roman"/>
        </w:rPr>
        <w:t xml:space="preserve"> </w:t>
      </w:r>
      <w:r w:rsidRPr="001C1CF7">
        <w:rPr>
          <w:rFonts w:cs="Times New Roman"/>
          <w:i/>
        </w:rPr>
        <w:t xml:space="preserve">This current manual and cumbersome process will not attract non-resident investor’s. </w:t>
      </w:r>
    </w:p>
    <w:p w14:paraId="4D5203D3" w14:textId="045EF4F8" w:rsidR="001E0F28" w:rsidRPr="001C1CF7" w:rsidRDefault="001E0F28" w:rsidP="00F04788">
      <w:pPr>
        <w:pStyle w:val="ListParagraph"/>
        <w:widowControl w:val="0"/>
        <w:numPr>
          <w:ilvl w:val="0"/>
          <w:numId w:val="2"/>
        </w:numPr>
        <w:spacing w:after="240"/>
        <w:ind w:left="0" w:firstLine="0"/>
        <w:contextualSpacing w:val="0"/>
        <w:jc w:val="both"/>
        <w:rPr>
          <w:rFonts w:cs="Times New Roman"/>
          <w:i/>
        </w:rPr>
      </w:pPr>
      <w:r>
        <w:rPr>
          <w:rFonts w:cs="Times New Roman"/>
        </w:rPr>
        <w:lastRenderedPageBreak/>
        <w:t>It should be noted, that due to illiquidity in the secondary market</w:t>
      </w:r>
      <w:r w:rsidR="002C55A9">
        <w:rPr>
          <w:rFonts w:cs="Times New Roman"/>
        </w:rPr>
        <w:t>,</w:t>
      </w:r>
      <w:r>
        <w:rPr>
          <w:rFonts w:cs="Times New Roman"/>
        </w:rPr>
        <w:t xml:space="preserve"> some local investors are currently purchasing short dated central bank bills due to uncertainty of their future cash liquidity position. However, with the introduction of </w:t>
      </w:r>
      <w:r w:rsidR="00EC611F">
        <w:rPr>
          <w:rFonts w:cs="Times New Roman"/>
        </w:rPr>
        <w:t xml:space="preserve">repurchase agreements (to be discussed in the following sections of this report) they would be willing to purchase longer dated T-bills and short to medium dated </w:t>
      </w:r>
      <w:r w:rsidR="002C55A9">
        <w:rPr>
          <w:rFonts w:cs="Times New Roman"/>
        </w:rPr>
        <w:t>GIS</w:t>
      </w:r>
      <w:r w:rsidR="00EC611F">
        <w:rPr>
          <w:rFonts w:cs="Times New Roman"/>
        </w:rPr>
        <w:t xml:space="preserve"> and in the event they needed to liquidate their position they would repo out the securities for cash. Thus, the repo market will, in the near term, offer liquidity and bring in potential buyers of longer dated government securities, which prior </w:t>
      </w:r>
      <w:r w:rsidR="002C55A9">
        <w:rPr>
          <w:rFonts w:cs="Times New Roman"/>
        </w:rPr>
        <w:t xml:space="preserve">to the establishment of a repo market </w:t>
      </w:r>
      <w:r w:rsidR="00EC611F">
        <w:rPr>
          <w:rFonts w:cs="Times New Roman"/>
        </w:rPr>
        <w:t xml:space="preserve">did not exist, and </w:t>
      </w:r>
      <w:r w:rsidR="002C55A9">
        <w:rPr>
          <w:rFonts w:cs="Times New Roman"/>
        </w:rPr>
        <w:t xml:space="preserve">this will </w:t>
      </w:r>
      <w:r w:rsidR="00EC611F">
        <w:rPr>
          <w:rFonts w:cs="Times New Roman"/>
        </w:rPr>
        <w:t xml:space="preserve">help the Treasury’s underwriting capacity. </w:t>
      </w:r>
    </w:p>
    <w:p w14:paraId="23657BBC" w14:textId="51E27721" w:rsidR="008B3D04" w:rsidRPr="00CD750D" w:rsidRDefault="00034B43" w:rsidP="008B3D04">
      <w:pPr>
        <w:pStyle w:val="ListParagraph"/>
        <w:widowControl w:val="0"/>
        <w:numPr>
          <w:ilvl w:val="0"/>
          <w:numId w:val="2"/>
        </w:numPr>
        <w:spacing w:after="240"/>
        <w:ind w:left="0" w:firstLine="0"/>
        <w:contextualSpacing w:val="0"/>
        <w:jc w:val="both"/>
        <w:rPr>
          <w:rFonts w:cs="Times New Roman"/>
        </w:rPr>
      </w:pPr>
      <w:r w:rsidRPr="00C34A2A">
        <w:rPr>
          <w:rFonts w:cs="Times New Roman"/>
        </w:rPr>
        <w:t>D</w:t>
      </w:r>
      <w:r w:rsidR="001C1CF7" w:rsidRPr="00C34A2A">
        <w:rPr>
          <w:rFonts w:cs="Times New Roman"/>
        </w:rPr>
        <w:t>omestic debt</w:t>
      </w:r>
      <w:r w:rsidR="001C1CF7" w:rsidRPr="00297E20">
        <w:rPr>
          <w:rFonts w:cs="Times New Roman"/>
        </w:rPr>
        <w:t xml:space="preserve"> </w:t>
      </w:r>
      <w:r w:rsidR="001C1CF7">
        <w:rPr>
          <w:rFonts w:cs="Times New Roman"/>
        </w:rPr>
        <w:t xml:space="preserve">has </w:t>
      </w:r>
      <w:r w:rsidR="00C34A2A">
        <w:rPr>
          <w:rFonts w:cs="Times New Roman"/>
        </w:rPr>
        <w:t>increased</w:t>
      </w:r>
      <w:r w:rsidR="001C1CF7" w:rsidRPr="00297E20">
        <w:rPr>
          <w:rFonts w:cs="Times New Roman"/>
        </w:rPr>
        <w:t xml:space="preserve"> </w:t>
      </w:r>
      <w:r w:rsidR="0087384D">
        <w:rPr>
          <w:rFonts w:cs="Times New Roman"/>
        </w:rPr>
        <w:t xml:space="preserve">from </w:t>
      </w:r>
      <w:r w:rsidR="00341A40">
        <w:rPr>
          <w:rFonts w:cs="Times New Roman"/>
        </w:rPr>
        <w:t>PG</w:t>
      </w:r>
      <w:r w:rsidR="00C34A2A">
        <w:rPr>
          <w:rFonts w:cs="Times New Roman"/>
        </w:rPr>
        <w:t>K4077.8</w:t>
      </w:r>
      <w:r w:rsidR="0087384D">
        <w:rPr>
          <w:rFonts w:cs="Times New Roman"/>
        </w:rPr>
        <w:t xml:space="preserve">mm to </w:t>
      </w:r>
      <w:r w:rsidR="00341A40">
        <w:rPr>
          <w:rFonts w:cs="Times New Roman"/>
        </w:rPr>
        <w:t>PG</w:t>
      </w:r>
      <w:r w:rsidR="00C34A2A">
        <w:rPr>
          <w:rFonts w:cs="Times New Roman"/>
        </w:rPr>
        <w:t>K11827.9</w:t>
      </w:r>
      <w:r>
        <w:rPr>
          <w:rFonts w:cs="Times New Roman"/>
        </w:rPr>
        <w:t xml:space="preserve">mm during </w:t>
      </w:r>
      <w:r w:rsidR="001C1CF7" w:rsidRPr="00297E20">
        <w:rPr>
          <w:rFonts w:cs="Times New Roman"/>
        </w:rPr>
        <w:t xml:space="preserve">the </w:t>
      </w:r>
      <w:r w:rsidR="00C34A2A">
        <w:rPr>
          <w:rFonts w:cs="Times New Roman"/>
        </w:rPr>
        <w:t>2010 to 2014</w:t>
      </w:r>
      <w:r>
        <w:rPr>
          <w:rFonts w:cs="Times New Roman"/>
        </w:rPr>
        <w:t xml:space="preserve"> </w:t>
      </w:r>
      <w:r w:rsidR="001C1CF7" w:rsidRPr="00297E20">
        <w:rPr>
          <w:rFonts w:cs="Times New Roman"/>
        </w:rPr>
        <w:t>period</w:t>
      </w:r>
      <w:r w:rsidR="001C1CF7">
        <w:rPr>
          <w:rFonts w:cs="Times New Roman"/>
        </w:rPr>
        <w:t>,</w:t>
      </w:r>
      <w:r w:rsidR="00C34A2A">
        <w:rPr>
          <w:rFonts w:cs="Times New Roman"/>
        </w:rPr>
        <w:t xml:space="preserve"> </w:t>
      </w:r>
      <w:r w:rsidR="0087384D">
        <w:rPr>
          <w:rFonts w:cs="Times New Roman"/>
        </w:rPr>
        <w:t>significant increase</w:t>
      </w:r>
      <w:r w:rsidR="00C34A2A">
        <w:rPr>
          <w:rFonts w:cs="Times New Roman"/>
        </w:rPr>
        <w:t>s</w:t>
      </w:r>
      <w:r w:rsidR="001C1CF7">
        <w:rPr>
          <w:rFonts w:cs="Times New Roman"/>
        </w:rPr>
        <w:t xml:space="preserve"> </w:t>
      </w:r>
      <w:r w:rsidR="00C34A2A">
        <w:rPr>
          <w:rFonts w:cs="Times New Roman"/>
        </w:rPr>
        <w:t>in 2013 and 2014</w:t>
      </w:r>
      <w:r w:rsidR="00823766">
        <w:rPr>
          <w:rFonts w:cs="Times New Roman"/>
        </w:rPr>
        <w:t xml:space="preserve"> The </w:t>
      </w:r>
      <w:r w:rsidR="002C55A9">
        <w:rPr>
          <w:rFonts w:cs="Times New Roman"/>
        </w:rPr>
        <w:t xml:space="preserve">resultant </w:t>
      </w:r>
      <w:r w:rsidR="00823766">
        <w:rPr>
          <w:rFonts w:cs="Times New Roman"/>
        </w:rPr>
        <w:t>increased funding requirement</w:t>
      </w:r>
      <w:r w:rsidR="0087384D">
        <w:rPr>
          <w:rFonts w:cs="Times New Roman"/>
        </w:rPr>
        <w:t xml:space="preserve"> </w:t>
      </w:r>
      <w:r w:rsidR="001C1CF7">
        <w:rPr>
          <w:rFonts w:cs="Times New Roman"/>
        </w:rPr>
        <w:t xml:space="preserve">has caused an increase in yields </w:t>
      </w:r>
      <w:r w:rsidR="00823766">
        <w:rPr>
          <w:rFonts w:cs="Times New Roman"/>
        </w:rPr>
        <w:t>with the we</w:t>
      </w:r>
      <w:r>
        <w:rPr>
          <w:rFonts w:cs="Times New Roman"/>
        </w:rPr>
        <w:t xml:space="preserve">ighted average tender yield of roughly 7.5% </w:t>
      </w:r>
      <w:r w:rsidR="00823766">
        <w:rPr>
          <w:rFonts w:cs="Times New Roman"/>
        </w:rPr>
        <w:t xml:space="preserve">in mid 2013 </w:t>
      </w:r>
      <w:r w:rsidR="002C55A9">
        <w:rPr>
          <w:rFonts w:cs="Times New Roman"/>
        </w:rPr>
        <w:t xml:space="preserve">increasing </w:t>
      </w:r>
      <w:r w:rsidR="00823766">
        <w:rPr>
          <w:rFonts w:cs="Times New Roman"/>
        </w:rPr>
        <w:t>to roughly 11.5% in late 2014</w:t>
      </w:r>
      <w:r>
        <w:rPr>
          <w:rFonts w:cs="Times New Roman"/>
        </w:rPr>
        <w:t xml:space="preserve"> and</w:t>
      </w:r>
      <w:r w:rsidR="001C1CF7">
        <w:rPr>
          <w:rFonts w:cs="Times New Roman"/>
        </w:rPr>
        <w:t xml:space="preserve"> at times </w:t>
      </w:r>
      <w:r>
        <w:rPr>
          <w:rFonts w:cs="Times New Roman"/>
        </w:rPr>
        <w:t>government securities auctions have been under</w:t>
      </w:r>
      <w:r w:rsidR="002C55A9">
        <w:rPr>
          <w:rFonts w:cs="Times New Roman"/>
        </w:rPr>
        <w:t>-</w:t>
      </w:r>
      <w:r>
        <w:rPr>
          <w:rFonts w:cs="Times New Roman"/>
        </w:rPr>
        <w:t>subscribed</w:t>
      </w:r>
      <w:r w:rsidR="001C1CF7">
        <w:rPr>
          <w:rFonts w:cs="Times New Roman"/>
        </w:rPr>
        <w:t xml:space="preserve">. Investors expressed </w:t>
      </w:r>
      <w:r w:rsidR="002C55A9">
        <w:rPr>
          <w:rFonts w:cs="Times New Roman"/>
        </w:rPr>
        <w:t xml:space="preserve">frustration and </w:t>
      </w:r>
      <w:r w:rsidR="001C1CF7">
        <w:rPr>
          <w:rFonts w:cs="Times New Roman"/>
        </w:rPr>
        <w:t xml:space="preserve">concerns </w:t>
      </w:r>
      <w:r w:rsidR="002C55A9">
        <w:rPr>
          <w:rFonts w:cs="Times New Roman"/>
        </w:rPr>
        <w:t>with the uncertainty created in the market by</w:t>
      </w:r>
      <w:r w:rsidR="001C1CF7">
        <w:rPr>
          <w:rFonts w:cs="Times New Roman"/>
        </w:rPr>
        <w:t xml:space="preserve"> the issuance announcement procedures, auctions canceled on occasions, and the relative short time to react to the government’s issuance announcements, particularly with T-bills.</w:t>
      </w:r>
    </w:p>
    <w:p w14:paraId="12D804C4" w14:textId="77777777" w:rsidR="00406561" w:rsidRPr="00406561" w:rsidRDefault="001A4928" w:rsidP="00406561">
      <w:pPr>
        <w:pStyle w:val="ListParagraph"/>
        <w:widowControl w:val="0"/>
        <w:spacing w:after="240"/>
        <w:ind w:left="0"/>
        <w:contextualSpacing w:val="0"/>
        <w:jc w:val="both"/>
        <w:rPr>
          <w:rFonts w:cs="Times New Roman"/>
          <w:b/>
          <w:u w:val="single"/>
        </w:rPr>
      </w:pPr>
      <w:r>
        <w:rPr>
          <w:rFonts w:cs="Times New Roman"/>
          <w:b/>
          <w:u w:val="single"/>
        </w:rPr>
        <w:t>Figure 3:</w:t>
      </w:r>
      <w:r w:rsidR="00406561" w:rsidRPr="00406561">
        <w:rPr>
          <w:rFonts w:cs="Times New Roman"/>
          <w:b/>
          <w:u w:val="single"/>
        </w:rPr>
        <w:t xml:space="preserve"> Government Bond Yield Curve</w:t>
      </w:r>
    </w:p>
    <w:p w14:paraId="043B9D63" w14:textId="77777777" w:rsidR="00406561" w:rsidRDefault="00406561" w:rsidP="0029619C">
      <w:pPr>
        <w:widowControl w:val="0"/>
        <w:jc w:val="both"/>
        <w:rPr>
          <w:rFonts w:cs="Times New Roman"/>
        </w:rPr>
      </w:pPr>
      <w:r>
        <w:rPr>
          <w:noProof/>
          <w:lang w:eastAsia="en-US"/>
        </w:rPr>
        <w:drawing>
          <wp:inline distT="0" distB="0" distL="0" distR="0" wp14:anchorId="1696FFD0" wp14:editId="39E099B7">
            <wp:extent cx="5143500" cy="2552700"/>
            <wp:effectExtent l="0" t="0" r="1270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E118BB2" w14:textId="77777777" w:rsidR="00406561" w:rsidRPr="00406561" w:rsidRDefault="00406561" w:rsidP="00406561">
      <w:pPr>
        <w:widowControl w:val="0"/>
        <w:spacing w:after="240"/>
        <w:jc w:val="both"/>
        <w:rPr>
          <w:rFonts w:cs="Times New Roman"/>
          <w:i/>
          <w:sz w:val="20"/>
          <w:szCs w:val="20"/>
        </w:rPr>
      </w:pPr>
      <w:r w:rsidRPr="00406561">
        <w:rPr>
          <w:rFonts w:cs="Times New Roman"/>
          <w:i/>
          <w:sz w:val="20"/>
          <w:szCs w:val="20"/>
        </w:rPr>
        <w:t>Source: BPNG</w:t>
      </w:r>
    </w:p>
    <w:p w14:paraId="0229165E" w14:textId="42221ED9" w:rsidR="00ED2119" w:rsidRPr="00A64C0B" w:rsidRDefault="00684EAD" w:rsidP="00F04788">
      <w:pPr>
        <w:pStyle w:val="ListParagraph"/>
        <w:widowControl w:val="0"/>
        <w:numPr>
          <w:ilvl w:val="0"/>
          <w:numId w:val="2"/>
        </w:numPr>
        <w:spacing w:after="240"/>
        <w:ind w:left="0" w:firstLine="0"/>
        <w:contextualSpacing w:val="0"/>
        <w:jc w:val="both"/>
        <w:rPr>
          <w:b/>
          <w:u w:val="single"/>
        </w:rPr>
      </w:pPr>
      <w:r>
        <w:rPr>
          <w:rFonts w:cs="Times New Roman"/>
        </w:rPr>
        <w:t>Fr</w:t>
      </w:r>
      <w:r w:rsidR="008F5178">
        <w:rPr>
          <w:rFonts w:cs="Times New Roman"/>
        </w:rPr>
        <w:t>om September 2014 to April 2015, Figure 4, supply out</w:t>
      </w:r>
      <w:r>
        <w:rPr>
          <w:rFonts w:cs="Times New Roman"/>
        </w:rPr>
        <w:t xml:space="preserve"> weighted demand,</w:t>
      </w:r>
      <w:r w:rsidR="001C1CF7" w:rsidRPr="00034B43">
        <w:rPr>
          <w:rFonts w:cs="Times New Roman"/>
        </w:rPr>
        <w:t xml:space="preserve"> </w:t>
      </w:r>
      <w:r>
        <w:rPr>
          <w:rFonts w:cs="Times New Roman"/>
        </w:rPr>
        <w:t xml:space="preserve">as </w:t>
      </w:r>
      <w:r w:rsidR="001C1CF7" w:rsidRPr="00034B43">
        <w:rPr>
          <w:rFonts w:cs="Times New Roman"/>
        </w:rPr>
        <w:t xml:space="preserve">government Treasury bill auctions were mostly under-subscribed, while </w:t>
      </w:r>
      <w:r w:rsidR="002C55A9">
        <w:rPr>
          <w:rFonts w:cs="Times New Roman"/>
        </w:rPr>
        <w:t>GIS</w:t>
      </w:r>
      <w:r w:rsidR="00034B43" w:rsidRPr="00034B43">
        <w:rPr>
          <w:rFonts w:cs="Times New Roman"/>
        </w:rPr>
        <w:t xml:space="preserve"> a</w:t>
      </w:r>
      <w:r w:rsidR="001C1CF7" w:rsidRPr="00034B43">
        <w:rPr>
          <w:rFonts w:cs="Times New Roman"/>
        </w:rPr>
        <w:t>uctions received better demand from the ma</w:t>
      </w:r>
      <w:r w:rsidR="00034B43" w:rsidRPr="00034B43">
        <w:rPr>
          <w:rFonts w:cs="Times New Roman"/>
        </w:rPr>
        <w:t>rket, generally fully subscribed</w:t>
      </w:r>
      <w:r>
        <w:rPr>
          <w:rFonts w:cs="Times New Roman"/>
        </w:rPr>
        <w:t xml:space="preserve">, </w:t>
      </w:r>
      <w:r w:rsidR="008F5178">
        <w:rPr>
          <w:rFonts w:cs="Times New Roman"/>
        </w:rPr>
        <w:t xml:space="preserve">with </w:t>
      </w:r>
      <w:r>
        <w:rPr>
          <w:rFonts w:cs="Times New Roman"/>
        </w:rPr>
        <w:t>the average</w:t>
      </w:r>
      <w:r w:rsidR="008F5178">
        <w:rPr>
          <w:rFonts w:cs="Times New Roman"/>
        </w:rPr>
        <w:t xml:space="preserve"> bid-to-</w:t>
      </w:r>
      <w:r>
        <w:rPr>
          <w:rFonts w:cs="Times New Roman"/>
        </w:rPr>
        <w:t>co</w:t>
      </w:r>
      <w:r w:rsidR="008F5178">
        <w:rPr>
          <w:rFonts w:cs="Times New Roman"/>
        </w:rPr>
        <w:t>ver ratio for GIS at 1.4 times</w:t>
      </w:r>
      <w:r>
        <w:rPr>
          <w:rFonts w:cs="Times New Roman"/>
        </w:rPr>
        <w:t xml:space="preserve">. </w:t>
      </w:r>
      <w:r w:rsidR="001C1CF7" w:rsidRPr="00034B43">
        <w:rPr>
          <w:rFonts w:cs="Times New Roman"/>
        </w:rPr>
        <w:t xml:space="preserve">The total under-subscription at the Treasury bill auction in the March quarter of 2015 was </w:t>
      </w:r>
      <w:r w:rsidR="00341A40">
        <w:rPr>
          <w:rFonts w:cs="Times New Roman"/>
        </w:rPr>
        <w:t>PG</w:t>
      </w:r>
      <w:r w:rsidR="001C1CF7" w:rsidRPr="00034B43">
        <w:rPr>
          <w:rFonts w:cs="Times New Roman"/>
        </w:rPr>
        <w:t xml:space="preserve">K702.5 million, compared to </w:t>
      </w:r>
      <w:r w:rsidR="00341A40">
        <w:rPr>
          <w:rFonts w:cs="Times New Roman"/>
        </w:rPr>
        <w:t>PG</w:t>
      </w:r>
      <w:r w:rsidR="001C1CF7" w:rsidRPr="00034B43">
        <w:rPr>
          <w:rFonts w:cs="Times New Roman"/>
        </w:rPr>
        <w:t>K918.3</w:t>
      </w:r>
      <w:r w:rsidR="008B233B">
        <w:rPr>
          <w:rFonts w:cs="Times New Roman"/>
        </w:rPr>
        <w:t>mm</w:t>
      </w:r>
      <w:r w:rsidR="001C1CF7" w:rsidRPr="00034B43">
        <w:rPr>
          <w:rFonts w:cs="Times New Roman"/>
        </w:rPr>
        <w:t xml:space="preserve"> in th</w:t>
      </w:r>
      <w:r w:rsidR="000A3082">
        <w:rPr>
          <w:rFonts w:cs="Times New Roman"/>
        </w:rPr>
        <w:t>e December quarter of 2014</w:t>
      </w:r>
      <w:r w:rsidR="005035E0">
        <w:rPr>
          <w:rFonts w:cs="Times New Roman"/>
        </w:rPr>
        <w:t>. Under-subscriptions for</w:t>
      </w:r>
      <w:r w:rsidR="001C1CF7" w:rsidRPr="00034B43">
        <w:rPr>
          <w:rFonts w:cs="Times New Roman"/>
        </w:rPr>
        <w:t xml:space="preserve"> Treasury Bills between September 2014</w:t>
      </w:r>
      <w:r w:rsidR="00034B43">
        <w:rPr>
          <w:rFonts w:cs="Times New Roman"/>
        </w:rPr>
        <w:t xml:space="preserve"> and February 2015 were bought</w:t>
      </w:r>
      <w:r w:rsidR="001C1CF7" w:rsidRPr="00034B43">
        <w:rPr>
          <w:rFonts w:cs="Times New Roman"/>
        </w:rPr>
        <w:t xml:space="preserve"> by </w:t>
      </w:r>
      <w:r w:rsidR="002C55A9">
        <w:rPr>
          <w:rFonts w:cs="Times New Roman"/>
        </w:rPr>
        <w:t xml:space="preserve">the </w:t>
      </w:r>
      <w:r w:rsidR="001C1CF7" w:rsidRPr="00034B43">
        <w:rPr>
          <w:rFonts w:cs="Times New Roman"/>
        </w:rPr>
        <w:t xml:space="preserve">BPNG through the </w:t>
      </w:r>
      <w:r w:rsidR="001C1CF7" w:rsidRPr="008F5178">
        <w:rPr>
          <w:rFonts w:cs="Times New Roman"/>
          <w:i/>
        </w:rPr>
        <w:t>“Slack</w:t>
      </w:r>
      <w:r w:rsidR="001C1CF7" w:rsidRPr="00034B43">
        <w:rPr>
          <w:rFonts w:cs="Times New Roman"/>
        </w:rPr>
        <w:t xml:space="preserve"> </w:t>
      </w:r>
      <w:r w:rsidR="005035E0" w:rsidRPr="005035E0">
        <w:rPr>
          <w:rFonts w:cs="Times New Roman"/>
          <w:i/>
        </w:rPr>
        <w:t>A</w:t>
      </w:r>
      <w:r w:rsidR="008B233B" w:rsidRPr="005035E0">
        <w:rPr>
          <w:rFonts w:cs="Times New Roman"/>
          <w:i/>
        </w:rPr>
        <w:t>rrangement</w:t>
      </w:r>
      <w:r w:rsidR="005035E0">
        <w:rPr>
          <w:rFonts w:cs="Times New Roman"/>
          <w:i/>
        </w:rPr>
        <w:t>”</w:t>
      </w:r>
      <w:r w:rsidR="008F5178">
        <w:rPr>
          <w:rFonts w:cs="Times New Roman"/>
        </w:rPr>
        <w:t>, Figure 5,</w:t>
      </w:r>
      <w:r w:rsidR="008B233B">
        <w:rPr>
          <w:rFonts w:cs="Times New Roman"/>
        </w:rPr>
        <w:t xml:space="preserve"> </w:t>
      </w:r>
      <w:r w:rsidR="008F5178">
        <w:rPr>
          <w:rFonts w:cs="Times New Roman"/>
        </w:rPr>
        <w:t>between the central bank and</w:t>
      </w:r>
      <w:r w:rsidR="008B233B">
        <w:rPr>
          <w:rFonts w:cs="Times New Roman"/>
        </w:rPr>
        <w:t xml:space="preserve"> the government totaling </w:t>
      </w:r>
      <w:r w:rsidR="00341A40">
        <w:rPr>
          <w:rFonts w:cs="Times New Roman"/>
        </w:rPr>
        <w:t>PG</w:t>
      </w:r>
      <w:r w:rsidR="008B233B">
        <w:rPr>
          <w:rFonts w:cs="Times New Roman"/>
        </w:rPr>
        <w:t>K1865.5mm</w:t>
      </w:r>
      <w:r w:rsidR="008F5178">
        <w:rPr>
          <w:rFonts w:cs="Times New Roman"/>
        </w:rPr>
        <w:t>.</w:t>
      </w:r>
    </w:p>
    <w:p w14:paraId="7D4BBA6F" w14:textId="0A78CB2A" w:rsidR="00A64C0B" w:rsidRPr="00A64C0B" w:rsidRDefault="00A64C0B" w:rsidP="00F04788">
      <w:pPr>
        <w:pStyle w:val="ListParagraph"/>
        <w:widowControl w:val="0"/>
        <w:numPr>
          <w:ilvl w:val="0"/>
          <w:numId w:val="2"/>
        </w:numPr>
        <w:spacing w:after="240"/>
        <w:ind w:left="0" w:firstLine="0"/>
        <w:contextualSpacing w:val="0"/>
        <w:jc w:val="both"/>
        <w:rPr>
          <w:b/>
          <w:u w:val="single"/>
        </w:rPr>
      </w:pPr>
      <w:r>
        <w:rPr>
          <w:rFonts w:cs="Times New Roman"/>
        </w:rPr>
        <w:lastRenderedPageBreak/>
        <w:t xml:space="preserve">The </w:t>
      </w:r>
      <w:r w:rsidR="00C5433C" w:rsidRPr="00C34A2A">
        <w:rPr>
          <w:rFonts w:cs="Times New Roman"/>
        </w:rPr>
        <w:t>“</w:t>
      </w:r>
      <w:r w:rsidRPr="00C34A2A">
        <w:rPr>
          <w:rFonts w:cs="Times New Roman"/>
        </w:rPr>
        <w:t>slack agreement</w:t>
      </w:r>
      <w:r w:rsidR="00C34A2A" w:rsidRPr="00C34A2A">
        <w:rPr>
          <w:rFonts w:cs="Times New Roman"/>
        </w:rPr>
        <w:t>”</w:t>
      </w:r>
      <w:r w:rsidR="00C34A2A">
        <w:rPr>
          <w:rFonts w:cs="Times New Roman"/>
        </w:rPr>
        <w:t xml:space="preserve"> </w:t>
      </w:r>
      <w:r>
        <w:rPr>
          <w:rFonts w:cs="Times New Roman"/>
        </w:rPr>
        <w:t xml:space="preserve">between </w:t>
      </w:r>
      <w:r w:rsidR="002C55A9">
        <w:rPr>
          <w:rFonts w:cs="Times New Roman"/>
        </w:rPr>
        <w:t xml:space="preserve">the </w:t>
      </w:r>
      <w:r>
        <w:rPr>
          <w:rFonts w:cs="Times New Roman"/>
        </w:rPr>
        <w:t>BPNG and Treasury only applies to T-bills. The central bank purchases of the under-subscribed T-bills are injecting liquidity into the financial system, which is subsequently sterilized through th</w:t>
      </w:r>
      <w:r w:rsidR="005A77DD">
        <w:rPr>
          <w:rFonts w:cs="Times New Roman"/>
        </w:rPr>
        <w:t>e issuance of CBBs</w:t>
      </w:r>
      <w:r>
        <w:rPr>
          <w:rFonts w:cs="Times New Roman"/>
        </w:rPr>
        <w:t xml:space="preserve">. </w:t>
      </w:r>
    </w:p>
    <w:p w14:paraId="3D8FC46A" w14:textId="1ACEBA8E" w:rsidR="008B3D04" w:rsidRPr="00C5433C" w:rsidRDefault="002C55A9" w:rsidP="008B3D04">
      <w:pPr>
        <w:pStyle w:val="ListParagraph"/>
        <w:widowControl w:val="0"/>
        <w:numPr>
          <w:ilvl w:val="0"/>
          <w:numId w:val="2"/>
        </w:numPr>
        <w:spacing w:after="240"/>
        <w:ind w:left="0" w:firstLine="0"/>
        <w:contextualSpacing w:val="0"/>
        <w:jc w:val="both"/>
      </w:pPr>
      <w:r>
        <w:t xml:space="preserve">The </w:t>
      </w:r>
      <w:r w:rsidR="00A64C0B">
        <w:t xml:space="preserve">BPNG participates in the auctions for </w:t>
      </w:r>
      <w:r w:rsidR="00830408">
        <w:t>GIS</w:t>
      </w:r>
      <w:r w:rsidR="003E6354">
        <w:t xml:space="preserve"> </w:t>
      </w:r>
      <w:r w:rsidR="00A64C0B">
        <w:t xml:space="preserve">through competitive bidding </w:t>
      </w:r>
      <w:r w:rsidR="00C5433C">
        <w:rPr>
          <w:rFonts w:ascii="Calibri" w:hAnsi="Calibri" w:cs="Calibri"/>
          <w:color w:val="18376A"/>
        </w:rPr>
        <w:t xml:space="preserve">as </w:t>
      </w:r>
      <w:r w:rsidR="00C5433C">
        <w:t>part of the b</w:t>
      </w:r>
      <w:r w:rsidR="00A64C0B" w:rsidRPr="00C5433C">
        <w:t>ank’s asset</w:t>
      </w:r>
      <w:r w:rsidR="00C5433C">
        <w:t xml:space="preserve">s to diversify income and </w:t>
      </w:r>
      <w:r w:rsidR="00A64C0B" w:rsidRPr="00C5433C">
        <w:t>mitigate the net asset deficiency that the bank has been carrying fo</w:t>
      </w:r>
      <w:r w:rsidR="00C5433C">
        <w:t xml:space="preserve">r successive years.  Also, the bank’s intent is to build </w:t>
      </w:r>
      <w:r w:rsidR="00A64C0B" w:rsidRPr="00C5433C">
        <w:t xml:space="preserve">up stock </w:t>
      </w:r>
      <w:r w:rsidR="00C5433C">
        <w:t xml:space="preserve">of government securities </w:t>
      </w:r>
      <w:r w:rsidR="00A64C0B" w:rsidRPr="00C5433C">
        <w:t>for the purpose of</w:t>
      </w:r>
      <w:r w:rsidR="00C5433C">
        <w:t xml:space="preserve"> conducting repurchase transactions</w:t>
      </w:r>
      <w:r w:rsidR="00A64C0B" w:rsidRPr="00C5433C">
        <w:t xml:space="preserve"> and at some p</w:t>
      </w:r>
      <w:r w:rsidR="003E6354">
        <w:t>oint open up a Tap Facility so the Bank can sell i</w:t>
      </w:r>
      <w:r w:rsidR="00A64C0B" w:rsidRPr="00C5433C">
        <w:t>nscribed stocks from its portfolio to small -medium size investors</w:t>
      </w:r>
      <w:r w:rsidR="00A22336">
        <w:t>.</w:t>
      </w:r>
    </w:p>
    <w:p w14:paraId="68ACB3D1" w14:textId="77777777" w:rsidR="002A3E28" w:rsidRDefault="001C1CF7" w:rsidP="00406561">
      <w:pPr>
        <w:pStyle w:val="ListParagraph"/>
        <w:widowControl w:val="0"/>
        <w:spacing w:after="240"/>
        <w:ind w:left="0"/>
        <w:contextualSpacing w:val="0"/>
        <w:jc w:val="both"/>
        <w:rPr>
          <w:b/>
          <w:u w:val="single"/>
        </w:rPr>
      </w:pPr>
      <w:r w:rsidRPr="00034B43">
        <w:rPr>
          <w:b/>
          <w:u w:val="single"/>
        </w:rPr>
        <w:t>Figure</w:t>
      </w:r>
      <w:r w:rsidR="001A4928">
        <w:rPr>
          <w:b/>
          <w:u w:val="single"/>
        </w:rPr>
        <w:t xml:space="preserve"> 4</w:t>
      </w:r>
      <w:r w:rsidRPr="00034B43">
        <w:rPr>
          <w:b/>
          <w:u w:val="single"/>
        </w:rPr>
        <w:t>: Net Subscriptions of Government Securities</w:t>
      </w:r>
    </w:p>
    <w:p w14:paraId="447B5635" w14:textId="77777777" w:rsidR="002A3E28" w:rsidRDefault="002A3E28" w:rsidP="001C1CF7">
      <w:pPr>
        <w:widowControl w:val="0"/>
        <w:jc w:val="both"/>
        <w:rPr>
          <w:b/>
          <w:u w:val="single"/>
        </w:rPr>
      </w:pPr>
      <w:r>
        <w:rPr>
          <w:noProof/>
          <w:lang w:eastAsia="en-US"/>
        </w:rPr>
        <w:drawing>
          <wp:inline distT="0" distB="0" distL="0" distR="0" wp14:anchorId="7875E26F" wp14:editId="2E71F89C">
            <wp:extent cx="5595620" cy="247142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9C52B0" w14:textId="4F6EFE22" w:rsidR="005035E0" w:rsidRDefault="002A3E28" w:rsidP="001C1CF7">
      <w:pPr>
        <w:widowControl w:val="0"/>
        <w:jc w:val="both"/>
        <w:rPr>
          <w:i/>
          <w:sz w:val="20"/>
          <w:szCs w:val="20"/>
        </w:rPr>
      </w:pPr>
      <w:r w:rsidRPr="002A3E28">
        <w:rPr>
          <w:i/>
          <w:sz w:val="20"/>
          <w:szCs w:val="20"/>
        </w:rPr>
        <w:t>Source: BPNG</w:t>
      </w:r>
    </w:p>
    <w:p w14:paraId="511D0593" w14:textId="77777777" w:rsidR="005035E0" w:rsidRDefault="005035E0" w:rsidP="001C1CF7">
      <w:pPr>
        <w:widowControl w:val="0"/>
        <w:jc w:val="both"/>
        <w:rPr>
          <w:i/>
          <w:sz w:val="20"/>
          <w:szCs w:val="20"/>
        </w:rPr>
      </w:pPr>
    </w:p>
    <w:p w14:paraId="0BCA8957" w14:textId="77777777" w:rsidR="009A44BA" w:rsidRDefault="00034B43" w:rsidP="00406561">
      <w:pPr>
        <w:pStyle w:val="ListParagraph"/>
        <w:widowControl w:val="0"/>
        <w:spacing w:after="240"/>
        <w:ind w:left="0"/>
        <w:contextualSpacing w:val="0"/>
        <w:jc w:val="both"/>
        <w:rPr>
          <w:b/>
          <w:u w:val="single"/>
        </w:rPr>
      </w:pPr>
      <w:r w:rsidRPr="00034B43">
        <w:rPr>
          <w:b/>
          <w:u w:val="single"/>
        </w:rPr>
        <w:t>Figure</w:t>
      </w:r>
      <w:r w:rsidR="001A4928">
        <w:rPr>
          <w:b/>
          <w:u w:val="single"/>
        </w:rPr>
        <w:t xml:space="preserve"> 5</w:t>
      </w:r>
      <w:r w:rsidRPr="00034B43">
        <w:rPr>
          <w:b/>
          <w:u w:val="single"/>
        </w:rPr>
        <w:t>: Net Subscriptions of Government Securities</w:t>
      </w:r>
      <w:r w:rsidR="009A44BA">
        <w:rPr>
          <w:b/>
          <w:u w:val="single"/>
        </w:rPr>
        <w:t xml:space="preserve"> &amp; BPNG Slack</w:t>
      </w:r>
    </w:p>
    <w:p w14:paraId="74038A3F" w14:textId="77777777" w:rsidR="001C1CF7" w:rsidRPr="009A44BA" w:rsidRDefault="009A44BA" w:rsidP="009A44BA">
      <w:pPr>
        <w:pStyle w:val="ListParagraph"/>
        <w:widowControl w:val="0"/>
        <w:ind w:left="0"/>
        <w:contextualSpacing w:val="0"/>
        <w:jc w:val="both"/>
        <w:rPr>
          <w:b/>
          <w:u w:val="single"/>
        </w:rPr>
      </w:pPr>
      <w:r>
        <w:rPr>
          <w:noProof/>
          <w:lang w:eastAsia="en-US"/>
        </w:rPr>
        <w:drawing>
          <wp:inline distT="0" distB="0" distL="0" distR="0" wp14:anchorId="159895F3" wp14:editId="188BCCFB">
            <wp:extent cx="5486400" cy="2171700"/>
            <wp:effectExtent l="0" t="0" r="25400" b="127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DB8334" w14:textId="77777777" w:rsidR="00C3581D" w:rsidRDefault="00C3581D" w:rsidP="00C3581D">
      <w:pPr>
        <w:widowControl w:val="0"/>
        <w:jc w:val="both"/>
        <w:rPr>
          <w:i/>
          <w:sz w:val="20"/>
          <w:szCs w:val="20"/>
        </w:rPr>
      </w:pPr>
      <w:r w:rsidRPr="002A3E28">
        <w:rPr>
          <w:i/>
          <w:sz w:val="20"/>
          <w:szCs w:val="20"/>
        </w:rPr>
        <w:t>Source: BPNG</w:t>
      </w:r>
    </w:p>
    <w:p w14:paraId="6E454684" w14:textId="77777777" w:rsidR="002D4CCF" w:rsidRPr="00C3581D" w:rsidRDefault="002D4CCF" w:rsidP="00C3581D">
      <w:pPr>
        <w:widowControl w:val="0"/>
        <w:jc w:val="both"/>
        <w:rPr>
          <w:i/>
          <w:sz w:val="20"/>
          <w:szCs w:val="20"/>
        </w:rPr>
      </w:pPr>
    </w:p>
    <w:p w14:paraId="466A121A" w14:textId="5FE1D298" w:rsidR="00830408" w:rsidRPr="00BC54DC" w:rsidRDefault="00957423" w:rsidP="00BC54DC">
      <w:pPr>
        <w:pStyle w:val="ListParagraph"/>
        <w:widowControl w:val="0"/>
        <w:numPr>
          <w:ilvl w:val="0"/>
          <w:numId w:val="2"/>
        </w:numPr>
        <w:spacing w:after="240"/>
        <w:ind w:left="0" w:firstLine="0"/>
        <w:contextualSpacing w:val="0"/>
        <w:jc w:val="both"/>
        <w:rPr>
          <w:rFonts w:cs="Times New Roman"/>
        </w:rPr>
      </w:pPr>
      <w:r w:rsidRPr="005035E0">
        <w:rPr>
          <w:rFonts w:cs="Times New Roman"/>
        </w:rPr>
        <w:t>As previously mentioned,</w:t>
      </w:r>
      <w:r>
        <w:rPr>
          <w:rFonts w:cs="Times New Roman"/>
        </w:rPr>
        <w:t xml:space="preserve"> FMD is to publish the Annual Borrowing Plan at the start of the fiscal year, with quarterly announcement</w:t>
      </w:r>
      <w:r w:rsidR="00057C74">
        <w:rPr>
          <w:rFonts w:cs="Times New Roman"/>
        </w:rPr>
        <w:t>s</w:t>
      </w:r>
      <w:r>
        <w:rPr>
          <w:rFonts w:cs="Times New Roman"/>
        </w:rPr>
        <w:t xml:space="preserve"> for </w:t>
      </w:r>
      <w:r w:rsidR="00C5433C">
        <w:rPr>
          <w:rFonts w:cs="Times New Roman"/>
        </w:rPr>
        <w:t xml:space="preserve">T-bills and </w:t>
      </w:r>
      <w:r w:rsidR="00830408">
        <w:rPr>
          <w:rFonts w:cs="Times New Roman"/>
        </w:rPr>
        <w:t>GIS</w:t>
      </w:r>
      <w:r w:rsidR="00C5433C">
        <w:rPr>
          <w:rFonts w:cs="Times New Roman"/>
        </w:rPr>
        <w:t>.</w:t>
      </w:r>
      <w:r>
        <w:rPr>
          <w:rFonts w:cs="Times New Roman"/>
        </w:rPr>
        <w:t xml:space="preserve"> </w:t>
      </w:r>
      <w:r w:rsidRPr="005035E0">
        <w:rPr>
          <w:rFonts w:cs="Times New Roman"/>
        </w:rPr>
        <w:t>However,</w:t>
      </w:r>
      <w:r>
        <w:rPr>
          <w:rFonts w:cs="Times New Roman"/>
        </w:rPr>
        <w:t xml:space="preserve"> </w:t>
      </w:r>
      <w:r>
        <w:rPr>
          <w:rFonts w:cs="Times New Roman"/>
        </w:rPr>
        <w:lastRenderedPageBreak/>
        <w:t xml:space="preserve">recently this practice has not been implemented, the </w:t>
      </w:r>
      <w:r w:rsidR="00C5433C">
        <w:rPr>
          <w:rFonts w:cs="Times New Roman"/>
        </w:rPr>
        <w:t>last published annual plan was 2014, while it is believed the 2015 annual plan was distributed directly to registered bidders. T</w:t>
      </w:r>
      <w:r>
        <w:rPr>
          <w:rFonts w:cs="Times New Roman"/>
        </w:rPr>
        <w:t xml:space="preserve">he last published quarterly </w:t>
      </w:r>
      <w:r w:rsidR="003E6354">
        <w:rPr>
          <w:rFonts w:cs="Times New Roman"/>
        </w:rPr>
        <w:t>G</w:t>
      </w:r>
      <w:r>
        <w:rPr>
          <w:rFonts w:cs="Times New Roman"/>
        </w:rPr>
        <w:t>IS plan was Q3 2013 an</w:t>
      </w:r>
      <w:r w:rsidR="00057C74">
        <w:rPr>
          <w:rFonts w:cs="Times New Roman"/>
        </w:rPr>
        <w:t>d the last published T-bill update</w:t>
      </w:r>
      <w:r>
        <w:rPr>
          <w:rFonts w:cs="Times New Roman"/>
        </w:rPr>
        <w:t xml:space="preserve"> was April 2013. The current practice is to announce the </w:t>
      </w:r>
      <w:r w:rsidR="00057C74">
        <w:rPr>
          <w:rFonts w:cs="Times New Roman"/>
        </w:rPr>
        <w:t xml:space="preserve">actual </w:t>
      </w:r>
      <w:r>
        <w:rPr>
          <w:rFonts w:cs="Times New Roman"/>
        </w:rPr>
        <w:t>issuance</w:t>
      </w:r>
      <w:r w:rsidR="00057C74">
        <w:rPr>
          <w:rFonts w:cs="Times New Roman"/>
        </w:rPr>
        <w:t xml:space="preserve"> amounts and tenors </w:t>
      </w:r>
      <w:r>
        <w:rPr>
          <w:rFonts w:cs="Times New Roman"/>
        </w:rPr>
        <w:t xml:space="preserve">through </w:t>
      </w:r>
      <w:r w:rsidR="00830408">
        <w:rPr>
          <w:rFonts w:cs="Times New Roman"/>
        </w:rPr>
        <w:t xml:space="preserve">the </w:t>
      </w:r>
      <w:r>
        <w:rPr>
          <w:rFonts w:cs="Times New Roman"/>
        </w:rPr>
        <w:t>BP</w:t>
      </w:r>
      <w:r w:rsidR="00057C74">
        <w:rPr>
          <w:rFonts w:cs="Times New Roman"/>
        </w:rPr>
        <w:t xml:space="preserve">NG </w:t>
      </w:r>
      <w:r w:rsidR="004A3241">
        <w:rPr>
          <w:rFonts w:cs="Times New Roman"/>
        </w:rPr>
        <w:t xml:space="preserve">just ahead of an auction. </w:t>
      </w:r>
      <w:r w:rsidR="00830408">
        <w:rPr>
          <w:rFonts w:cs="Times New Roman"/>
        </w:rPr>
        <w:t>As previously stated, i</w:t>
      </w:r>
      <w:r w:rsidR="00830408" w:rsidRPr="00830408">
        <w:rPr>
          <w:rFonts w:cs="Times New Roman"/>
        </w:rPr>
        <w:t>nvestors expressed frustration and concerns with the uncertainty created in the market over the issuance announcement procedures, auctions canceled on occasions, and the relative short time to react to the issuance announcements, particularly with T-bills</w:t>
      </w:r>
      <w:r w:rsidR="00830408">
        <w:rPr>
          <w:rFonts w:cs="Times New Roman"/>
        </w:rPr>
        <w:t>.</w:t>
      </w:r>
    </w:p>
    <w:p w14:paraId="6E455B44" w14:textId="31957746" w:rsidR="002555BA" w:rsidRDefault="004A3241" w:rsidP="00F04788">
      <w:pPr>
        <w:pStyle w:val="ListParagraph"/>
        <w:widowControl w:val="0"/>
        <w:numPr>
          <w:ilvl w:val="0"/>
          <w:numId w:val="2"/>
        </w:numPr>
        <w:spacing w:after="240"/>
        <w:ind w:left="0" w:firstLine="0"/>
        <w:contextualSpacing w:val="0"/>
        <w:jc w:val="both"/>
        <w:rPr>
          <w:rFonts w:cs="Times New Roman"/>
        </w:rPr>
      </w:pPr>
      <w:r>
        <w:rPr>
          <w:rFonts w:cs="Times New Roman"/>
        </w:rPr>
        <w:t xml:space="preserve">A current </w:t>
      </w:r>
      <w:r w:rsidR="003E6354">
        <w:rPr>
          <w:rFonts w:cs="Times New Roman"/>
        </w:rPr>
        <w:t>G</w:t>
      </w:r>
      <w:r>
        <w:rPr>
          <w:rFonts w:cs="Times New Roman"/>
        </w:rPr>
        <w:t>I</w:t>
      </w:r>
      <w:r w:rsidR="00C84807">
        <w:rPr>
          <w:rFonts w:cs="Times New Roman"/>
        </w:rPr>
        <w:t>S auction announcement for June 2015:</w:t>
      </w:r>
      <w:r w:rsidR="002555BA">
        <w:rPr>
          <w:rFonts w:cs="Times New Roman"/>
        </w:rPr>
        <w:t xml:space="preserve"> (</w:t>
      </w:r>
      <w:proofErr w:type="spellStart"/>
      <w:r w:rsidR="002555BA">
        <w:rPr>
          <w:rFonts w:cs="Times New Roman"/>
        </w:rPr>
        <w:t>i</w:t>
      </w:r>
      <w:proofErr w:type="spellEnd"/>
      <w:r w:rsidR="002555BA">
        <w:rPr>
          <w:rFonts w:cs="Times New Roman"/>
        </w:rPr>
        <w:t>) a</w:t>
      </w:r>
      <w:r w:rsidR="003E6354">
        <w:rPr>
          <w:rFonts w:cs="Times New Roman"/>
        </w:rPr>
        <w:t>nnouncement d</w:t>
      </w:r>
      <w:r w:rsidR="00957423" w:rsidRPr="002555BA">
        <w:rPr>
          <w:rFonts w:cs="Times New Roman"/>
        </w:rPr>
        <w:t>ate June 10, 2015;</w:t>
      </w:r>
      <w:r w:rsidR="002555BA">
        <w:rPr>
          <w:rFonts w:cs="Times New Roman"/>
        </w:rPr>
        <w:t xml:space="preserve"> (ii) a</w:t>
      </w:r>
      <w:r w:rsidR="003E6354">
        <w:rPr>
          <w:rFonts w:cs="Times New Roman"/>
        </w:rPr>
        <w:t>uction d</w:t>
      </w:r>
      <w:r w:rsidRPr="002555BA">
        <w:rPr>
          <w:rFonts w:cs="Times New Roman"/>
        </w:rPr>
        <w:t>ate June 16, 2015;</w:t>
      </w:r>
      <w:r w:rsidR="002555BA">
        <w:rPr>
          <w:rFonts w:cs="Times New Roman"/>
        </w:rPr>
        <w:t xml:space="preserve"> (iii) s</w:t>
      </w:r>
      <w:r w:rsidRPr="002555BA">
        <w:rPr>
          <w:rFonts w:cs="Times New Roman"/>
        </w:rPr>
        <w:t>ettlement Date June 19, 2015;</w:t>
      </w:r>
      <w:r w:rsidR="002555BA">
        <w:rPr>
          <w:rFonts w:cs="Times New Roman"/>
        </w:rPr>
        <w:t xml:space="preserve"> (iii) a</w:t>
      </w:r>
      <w:r w:rsidRPr="002555BA">
        <w:rPr>
          <w:rFonts w:cs="Times New Roman"/>
        </w:rPr>
        <w:t xml:space="preserve">mount on offer </w:t>
      </w:r>
      <w:r w:rsidR="008925E3">
        <w:rPr>
          <w:rFonts w:cs="Times New Roman"/>
        </w:rPr>
        <w:t>PG</w:t>
      </w:r>
      <w:r w:rsidRPr="002555BA">
        <w:rPr>
          <w:rFonts w:cs="Times New Roman"/>
        </w:rPr>
        <w:t xml:space="preserve">K160mm - </w:t>
      </w:r>
      <w:r w:rsidR="008925E3">
        <w:rPr>
          <w:rFonts w:cs="Times New Roman"/>
        </w:rPr>
        <w:t>PG</w:t>
      </w:r>
      <w:r w:rsidRPr="002555BA">
        <w:rPr>
          <w:rFonts w:cs="Times New Roman"/>
        </w:rPr>
        <w:t>K40mm (eac</w:t>
      </w:r>
      <w:r w:rsidR="002555BA">
        <w:rPr>
          <w:rFonts w:cs="Times New Roman"/>
        </w:rPr>
        <w:t>h) of 3, 5, 7, and 8-year notes;</w:t>
      </w:r>
      <w:r w:rsidRPr="002555BA">
        <w:rPr>
          <w:rFonts w:cs="Times New Roman"/>
        </w:rPr>
        <w:t xml:space="preserve"> </w:t>
      </w:r>
    </w:p>
    <w:p w14:paraId="75CB2826" w14:textId="1027A52E" w:rsidR="004A3241" w:rsidRPr="002555BA" w:rsidRDefault="004A3241" w:rsidP="00F04788">
      <w:pPr>
        <w:pStyle w:val="ListParagraph"/>
        <w:widowControl w:val="0"/>
        <w:numPr>
          <w:ilvl w:val="0"/>
          <w:numId w:val="14"/>
        </w:numPr>
        <w:spacing w:after="240"/>
        <w:contextualSpacing w:val="0"/>
        <w:jc w:val="both"/>
        <w:rPr>
          <w:rFonts w:cs="Times New Roman"/>
        </w:rPr>
      </w:pPr>
      <w:r w:rsidRPr="002555BA">
        <w:rPr>
          <w:rFonts w:cs="Times New Roman"/>
        </w:rPr>
        <w:t xml:space="preserve">It should be noted that </w:t>
      </w:r>
      <w:r w:rsidR="00C84807" w:rsidRPr="002555BA">
        <w:rPr>
          <w:rFonts w:cs="Times New Roman"/>
        </w:rPr>
        <w:t xml:space="preserve">the </w:t>
      </w:r>
      <w:r w:rsidR="00057C74">
        <w:rPr>
          <w:rFonts w:cs="Times New Roman"/>
        </w:rPr>
        <w:t xml:space="preserve">2015 </w:t>
      </w:r>
      <w:r w:rsidRPr="002555BA">
        <w:rPr>
          <w:rFonts w:cs="Times New Roman"/>
        </w:rPr>
        <w:t xml:space="preserve">annual plan for </w:t>
      </w:r>
      <w:r w:rsidR="00057C74">
        <w:rPr>
          <w:rFonts w:cs="Times New Roman"/>
        </w:rPr>
        <w:t>G</w:t>
      </w:r>
      <w:r w:rsidRPr="002555BA">
        <w:rPr>
          <w:rFonts w:cs="Times New Roman"/>
        </w:rPr>
        <w:t xml:space="preserve">IS indicted </w:t>
      </w:r>
      <w:r w:rsidR="000D2109">
        <w:rPr>
          <w:rFonts w:cs="Times New Roman"/>
        </w:rPr>
        <w:t>K</w:t>
      </w:r>
      <w:r w:rsidRPr="002555BA">
        <w:rPr>
          <w:rFonts w:cs="Times New Roman"/>
        </w:rPr>
        <w:t>150mm to be issued in June</w:t>
      </w:r>
      <w:r w:rsidR="00C84807" w:rsidRPr="002555BA">
        <w:rPr>
          <w:rFonts w:cs="Times New Roman"/>
        </w:rPr>
        <w:t>. However, the annual plan does not indicate maturities but it is consid</w:t>
      </w:r>
      <w:r w:rsidR="008925E3">
        <w:rPr>
          <w:rFonts w:cs="Times New Roman"/>
        </w:rPr>
        <w:t>ered by FMD that the market generally knows.</w:t>
      </w:r>
      <w:r w:rsidR="000D2109">
        <w:rPr>
          <w:rFonts w:cs="Times New Roman"/>
        </w:rPr>
        <w:t xml:space="preserve"> A six-day advanced notice of issuance details is not sufficient </w:t>
      </w:r>
      <w:r w:rsidR="007E4DAF">
        <w:rPr>
          <w:rFonts w:cs="Times New Roman"/>
        </w:rPr>
        <w:t>notification</w:t>
      </w:r>
      <w:r w:rsidR="000D2109">
        <w:rPr>
          <w:rFonts w:cs="Times New Roman"/>
        </w:rPr>
        <w:t>, which has been expressed by the market participants and the investment community.</w:t>
      </w:r>
    </w:p>
    <w:p w14:paraId="0DD0421A" w14:textId="77777777" w:rsidR="00231624" w:rsidRDefault="00C84807" w:rsidP="00F04788">
      <w:pPr>
        <w:pStyle w:val="ListParagraph"/>
        <w:widowControl w:val="0"/>
        <w:numPr>
          <w:ilvl w:val="0"/>
          <w:numId w:val="2"/>
        </w:numPr>
        <w:spacing w:after="240"/>
        <w:ind w:left="0" w:firstLine="0"/>
        <w:contextualSpacing w:val="0"/>
        <w:jc w:val="both"/>
        <w:rPr>
          <w:rFonts w:cs="Times New Roman"/>
        </w:rPr>
      </w:pPr>
      <w:r>
        <w:rPr>
          <w:rFonts w:cs="Times New Roman"/>
        </w:rPr>
        <w:t xml:space="preserve">T-bill auctions are announced at the close of business on Tuesdays and auctioned the next day (Wednesday). The annual plan does state that the maturities for T-bills are 182 and 364-days. However, the amounts are unknown </w:t>
      </w:r>
      <w:r w:rsidR="003E6354">
        <w:rPr>
          <w:rFonts w:cs="Times New Roman"/>
        </w:rPr>
        <w:t xml:space="preserve">until the day before </w:t>
      </w:r>
      <w:r>
        <w:rPr>
          <w:rFonts w:cs="Times New Roman"/>
        </w:rPr>
        <w:t>and are being auctioned the same day as central bank bills.</w:t>
      </w:r>
    </w:p>
    <w:p w14:paraId="0984A283" w14:textId="7558FC70" w:rsidR="000D2109" w:rsidRDefault="00DA4373" w:rsidP="00DA4373">
      <w:pPr>
        <w:pStyle w:val="ListParagraph"/>
        <w:widowControl w:val="0"/>
        <w:numPr>
          <w:ilvl w:val="0"/>
          <w:numId w:val="2"/>
        </w:numPr>
        <w:spacing w:after="240"/>
        <w:ind w:left="0" w:firstLine="0"/>
        <w:contextualSpacing w:val="0"/>
        <w:jc w:val="both"/>
        <w:rPr>
          <w:rFonts w:cs="Times New Roman"/>
        </w:rPr>
      </w:pPr>
      <w:r>
        <w:rPr>
          <w:rFonts w:cs="Times New Roman"/>
        </w:rPr>
        <w:t xml:space="preserve">Market participants, local investors, and monetary policy operations at </w:t>
      </w:r>
      <w:r w:rsidR="00830408">
        <w:rPr>
          <w:rFonts w:cs="Times New Roman"/>
        </w:rPr>
        <w:t xml:space="preserve">the </w:t>
      </w:r>
      <w:r>
        <w:rPr>
          <w:rFonts w:cs="Times New Roman"/>
        </w:rPr>
        <w:t xml:space="preserve">BPNG have expressed </w:t>
      </w:r>
      <w:r w:rsidR="00830408">
        <w:rPr>
          <w:rFonts w:cs="Times New Roman"/>
        </w:rPr>
        <w:t xml:space="preserve">the view that </w:t>
      </w:r>
      <w:r>
        <w:rPr>
          <w:rFonts w:cs="Times New Roman"/>
        </w:rPr>
        <w:t xml:space="preserve">the current </w:t>
      </w:r>
      <w:r w:rsidR="007E4DAF">
        <w:rPr>
          <w:rFonts w:cs="Times New Roman"/>
        </w:rPr>
        <w:t xml:space="preserve">notice period for T-bills </w:t>
      </w:r>
      <w:r w:rsidR="00830408">
        <w:rPr>
          <w:rFonts w:cs="Times New Roman"/>
        </w:rPr>
        <w:t>and</w:t>
      </w:r>
      <w:r>
        <w:rPr>
          <w:rFonts w:cs="Times New Roman"/>
        </w:rPr>
        <w:t xml:space="preserve"> GIS is not sufficient notification and given market conditions has lead to the weak demand for government securities, specifically </w:t>
      </w:r>
      <w:r w:rsidR="00830408">
        <w:rPr>
          <w:rFonts w:cs="Times New Roman"/>
        </w:rPr>
        <w:t xml:space="preserve">for </w:t>
      </w:r>
      <w:r>
        <w:rPr>
          <w:rFonts w:cs="Times New Roman"/>
        </w:rPr>
        <w:t xml:space="preserve">T-bills. </w:t>
      </w:r>
    </w:p>
    <w:p w14:paraId="405B1E82" w14:textId="77777777" w:rsidR="00231624" w:rsidRPr="008F7368" w:rsidRDefault="000D2109" w:rsidP="006D6C98">
      <w:pPr>
        <w:widowControl w:val="0"/>
        <w:spacing w:after="240"/>
        <w:jc w:val="both"/>
        <w:rPr>
          <w:rFonts w:cs="Times New Roman"/>
          <w:i/>
          <w:u w:val="single"/>
        </w:rPr>
      </w:pPr>
      <w:r w:rsidRPr="008F7368">
        <w:rPr>
          <w:rFonts w:cs="Times New Roman"/>
          <w:i/>
          <w:u w:val="single"/>
        </w:rPr>
        <w:t>Recent Initiatives-</w:t>
      </w:r>
    </w:p>
    <w:p w14:paraId="02AE2D6F" w14:textId="676C16DA" w:rsidR="00A71AF9" w:rsidRPr="00A71AF9" w:rsidRDefault="00231624" w:rsidP="00F04788">
      <w:pPr>
        <w:pStyle w:val="ListParagraph"/>
        <w:widowControl w:val="0"/>
        <w:numPr>
          <w:ilvl w:val="0"/>
          <w:numId w:val="2"/>
        </w:numPr>
        <w:spacing w:after="240"/>
        <w:ind w:left="0" w:firstLine="0"/>
        <w:contextualSpacing w:val="0"/>
        <w:jc w:val="both"/>
        <w:rPr>
          <w:rFonts w:cs="Times New Roman"/>
          <w:i/>
        </w:rPr>
      </w:pPr>
      <w:r>
        <w:rPr>
          <w:rFonts w:cs="Times New Roman"/>
        </w:rPr>
        <w:t xml:space="preserve">The BPNG has evaluated </w:t>
      </w:r>
      <w:r w:rsidR="00A71AF9">
        <w:rPr>
          <w:rFonts w:cs="Times New Roman"/>
        </w:rPr>
        <w:t xml:space="preserve">and </w:t>
      </w:r>
      <w:r w:rsidR="00830408">
        <w:rPr>
          <w:rFonts w:cs="Times New Roman"/>
        </w:rPr>
        <w:t xml:space="preserve">is </w:t>
      </w:r>
      <w:r w:rsidR="00455426">
        <w:rPr>
          <w:rFonts w:cs="Times New Roman"/>
        </w:rPr>
        <w:t xml:space="preserve">currently </w:t>
      </w:r>
      <w:r w:rsidR="00A71AF9">
        <w:rPr>
          <w:rFonts w:cs="Times New Roman"/>
        </w:rPr>
        <w:t xml:space="preserve">testing </w:t>
      </w:r>
      <w:r>
        <w:rPr>
          <w:rFonts w:cs="Times New Roman"/>
        </w:rPr>
        <w:t>the Bloomberg Automated Auctio</w:t>
      </w:r>
      <w:r w:rsidR="00A71AF9">
        <w:rPr>
          <w:rFonts w:cs="Times New Roman"/>
        </w:rPr>
        <w:t xml:space="preserve">n System </w:t>
      </w:r>
      <w:r>
        <w:rPr>
          <w:rFonts w:cs="Times New Roman"/>
        </w:rPr>
        <w:t xml:space="preserve">for </w:t>
      </w:r>
      <w:r w:rsidR="00A71AF9">
        <w:rPr>
          <w:rFonts w:cs="Times New Roman"/>
        </w:rPr>
        <w:t xml:space="preserve">the </w:t>
      </w:r>
      <w:r>
        <w:rPr>
          <w:rFonts w:cs="Times New Roman"/>
        </w:rPr>
        <w:t>government securities and central bank bills</w:t>
      </w:r>
      <w:r w:rsidR="00A71AF9">
        <w:rPr>
          <w:rFonts w:cs="Times New Roman"/>
        </w:rPr>
        <w:t xml:space="preserve"> primary market</w:t>
      </w:r>
      <w:r>
        <w:rPr>
          <w:rFonts w:cs="Times New Roman"/>
        </w:rPr>
        <w:t xml:space="preserve">. The Bloomberg system allows for registered bidders to submit their tenders </w:t>
      </w:r>
      <w:r w:rsidR="00A71AF9">
        <w:rPr>
          <w:rFonts w:cs="Times New Roman"/>
        </w:rPr>
        <w:t xml:space="preserve">electronically </w:t>
      </w:r>
      <w:r>
        <w:rPr>
          <w:rFonts w:cs="Times New Roman"/>
        </w:rPr>
        <w:t xml:space="preserve">through a Bloomberg terminal </w:t>
      </w:r>
      <w:r w:rsidR="00A71AF9">
        <w:rPr>
          <w:rFonts w:cs="Times New Roman"/>
        </w:rPr>
        <w:t xml:space="preserve">directly to the BPNG. The </w:t>
      </w:r>
      <w:r>
        <w:rPr>
          <w:rFonts w:cs="Times New Roman"/>
        </w:rPr>
        <w:t xml:space="preserve">system </w:t>
      </w:r>
      <w:r w:rsidR="00A71AF9">
        <w:rPr>
          <w:rFonts w:cs="Times New Roman"/>
        </w:rPr>
        <w:t xml:space="preserve">automatically </w:t>
      </w:r>
      <w:r>
        <w:rPr>
          <w:rFonts w:cs="Times New Roman"/>
        </w:rPr>
        <w:t xml:space="preserve">collates the bids </w:t>
      </w:r>
      <w:r w:rsidR="00A71AF9">
        <w:rPr>
          <w:rFonts w:cs="Times New Roman"/>
        </w:rPr>
        <w:t>in from highest bid to lowest and by individual registered bidder. The fiscal agent decides on the cutoff of all the bids</w:t>
      </w:r>
      <w:r w:rsidR="00830408">
        <w:rPr>
          <w:rFonts w:cs="Times New Roman"/>
        </w:rPr>
        <w:t>,</w:t>
      </w:r>
      <w:r w:rsidR="00A71AF9">
        <w:rPr>
          <w:rFonts w:cs="Times New Roman"/>
        </w:rPr>
        <w:t xml:space="preserve"> </w:t>
      </w:r>
      <w:proofErr w:type="gramStart"/>
      <w:r w:rsidR="00A71AF9">
        <w:rPr>
          <w:rFonts w:cs="Times New Roman"/>
        </w:rPr>
        <w:t>then</w:t>
      </w:r>
      <w:proofErr w:type="gramEnd"/>
      <w:r w:rsidR="00A71AF9">
        <w:rPr>
          <w:rFonts w:cs="Times New Roman"/>
        </w:rPr>
        <w:t xml:space="preserve"> forwards </w:t>
      </w:r>
      <w:r w:rsidR="00830408">
        <w:rPr>
          <w:rFonts w:cs="Times New Roman"/>
        </w:rPr>
        <w:t xml:space="preserve">the results </w:t>
      </w:r>
      <w:r w:rsidR="008925E3">
        <w:rPr>
          <w:rFonts w:cs="Times New Roman"/>
        </w:rPr>
        <w:t>to</w:t>
      </w:r>
      <w:r w:rsidR="00A71AF9">
        <w:rPr>
          <w:rFonts w:cs="Times New Roman"/>
        </w:rPr>
        <w:t xml:space="preserve"> FDM’s Bloomberg terminal for approval. Upon approval</w:t>
      </w:r>
      <w:r w:rsidR="00830408">
        <w:rPr>
          <w:rFonts w:cs="Times New Roman"/>
        </w:rPr>
        <w:t>,</w:t>
      </w:r>
      <w:r w:rsidR="00A71AF9">
        <w:rPr>
          <w:rFonts w:cs="Times New Roman"/>
        </w:rPr>
        <w:t xml:space="preserve"> results are instantly released to the awarded tenders as well as to the general market place. </w:t>
      </w:r>
    </w:p>
    <w:p w14:paraId="28475334" w14:textId="41741BE3" w:rsidR="005A77DD" w:rsidRPr="005035E0" w:rsidRDefault="00A71AF9" w:rsidP="005A77DD">
      <w:pPr>
        <w:pStyle w:val="ListParagraph"/>
        <w:widowControl w:val="0"/>
        <w:numPr>
          <w:ilvl w:val="0"/>
          <w:numId w:val="2"/>
        </w:numPr>
        <w:spacing w:after="240"/>
        <w:ind w:left="0" w:firstLine="0"/>
        <w:contextualSpacing w:val="0"/>
        <w:jc w:val="both"/>
        <w:rPr>
          <w:rFonts w:cs="Times New Roman"/>
        </w:rPr>
      </w:pPr>
      <w:r>
        <w:rPr>
          <w:rFonts w:cs="Times New Roman"/>
        </w:rPr>
        <w:t>The Bloomberg auction system provides a fast and efficient bidding process with a high degree of operational risk</w:t>
      </w:r>
      <w:r w:rsidR="003E6354">
        <w:rPr>
          <w:rFonts w:cs="Times New Roman"/>
        </w:rPr>
        <w:t xml:space="preserve"> mitigation by transitioning fro</w:t>
      </w:r>
      <w:r>
        <w:rPr>
          <w:rFonts w:cs="Times New Roman"/>
        </w:rPr>
        <w:t xml:space="preserve">m a manual to a </w:t>
      </w:r>
      <w:r w:rsidR="003E6354">
        <w:rPr>
          <w:rFonts w:cs="Times New Roman"/>
        </w:rPr>
        <w:t xml:space="preserve">highly </w:t>
      </w:r>
      <w:r>
        <w:rPr>
          <w:rFonts w:cs="Times New Roman"/>
        </w:rPr>
        <w:t>automated process.</w:t>
      </w:r>
    </w:p>
    <w:p w14:paraId="12DC3220" w14:textId="77777777" w:rsidR="00231624" w:rsidRPr="008F7368" w:rsidRDefault="00231624" w:rsidP="00720653">
      <w:pPr>
        <w:pStyle w:val="ListParagraph"/>
        <w:widowControl w:val="0"/>
        <w:spacing w:after="240"/>
        <w:ind w:left="0"/>
        <w:contextualSpacing w:val="0"/>
        <w:jc w:val="both"/>
        <w:rPr>
          <w:rFonts w:cs="Times New Roman"/>
          <w:i/>
          <w:u w:val="single"/>
        </w:rPr>
      </w:pPr>
      <w:r w:rsidRPr="008F7368">
        <w:rPr>
          <w:rFonts w:cs="Times New Roman"/>
          <w:i/>
          <w:u w:val="single"/>
        </w:rPr>
        <w:t>Recommendations</w:t>
      </w:r>
      <w:r w:rsidR="000D2109" w:rsidRPr="008F7368">
        <w:rPr>
          <w:rFonts w:cs="Times New Roman"/>
          <w:i/>
          <w:u w:val="single"/>
        </w:rPr>
        <w:t>-</w:t>
      </w:r>
    </w:p>
    <w:p w14:paraId="247BBD09" w14:textId="77777777" w:rsidR="00DA4A10" w:rsidRDefault="00830408" w:rsidP="00F04788">
      <w:pPr>
        <w:pStyle w:val="ListParagraph"/>
        <w:widowControl w:val="0"/>
        <w:numPr>
          <w:ilvl w:val="0"/>
          <w:numId w:val="2"/>
        </w:numPr>
        <w:spacing w:after="240"/>
        <w:ind w:left="0" w:firstLine="0"/>
        <w:contextualSpacing w:val="0"/>
        <w:jc w:val="both"/>
        <w:rPr>
          <w:rFonts w:cs="Times New Roman"/>
        </w:rPr>
      </w:pPr>
      <w:r>
        <w:rPr>
          <w:rFonts w:cs="Times New Roman"/>
        </w:rPr>
        <w:t xml:space="preserve">That the </w:t>
      </w:r>
      <w:r w:rsidR="002555BA">
        <w:rPr>
          <w:rFonts w:cs="Times New Roman"/>
        </w:rPr>
        <w:t>BPNG and FDM a</w:t>
      </w:r>
      <w:r w:rsidR="00DA4A10">
        <w:rPr>
          <w:rFonts w:cs="Times New Roman"/>
        </w:rPr>
        <w:t xml:space="preserve">dopt and implement the Bloomberg auction system for the </w:t>
      </w:r>
      <w:r w:rsidR="002555BA">
        <w:rPr>
          <w:rFonts w:cs="Times New Roman"/>
        </w:rPr>
        <w:t xml:space="preserve">government securities and central Bank bills </w:t>
      </w:r>
      <w:r w:rsidR="00DA4A10">
        <w:rPr>
          <w:rFonts w:cs="Times New Roman"/>
        </w:rPr>
        <w:t>primary market.</w:t>
      </w:r>
    </w:p>
    <w:p w14:paraId="3A0FB9B8" w14:textId="77777777" w:rsidR="008C5147" w:rsidRDefault="00830408" w:rsidP="00F04788">
      <w:pPr>
        <w:pStyle w:val="ListParagraph"/>
        <w:widowControl w:val="0"/>
        <w:numPr>
          <w:ilvl w:val="0"/>
          <w:numId w:val="2"/>
        </w:numPr>
        <w:spacing w:after="240"/>
        <w:ind w:left="0" w:firstLine="0"/>
        <w:contextualSpacing w:val="0"/>
        <w:jc w:val="both"/>
        <w:rPr>
          <w:rFonts w:cs="Times New Roman"/>
        </w:rPr>
      </w:pPr>
      <w:r>
        <w:rPr>
          <w:rFonts w:cs="Times New Roman"/>
        </w:rPr>
        <w:lastRenderedPageBreak/>
        <w:t xml:space="preserve">That </w:t>
      </w:r>
      <w:r w:rsidR="003E6354">
        <w:rPr>
          <w:rFonts w:cs="Times New Roman"/>
        </w:rPr>
        <w:t>FMD r</w:t>
      </w:r>
      <w:r w:rsidR="002555BA">
        <w:rPr>
          <w:rFonts w:cs="Times New Roman"/>
        </w:rPr>
        <w:t>einitiate</w:t>
      </w:r>
      <w:r w:rsidR="008C5147">
        <w:rPr>
          <w:rFonts w:cs="Times New Roman"/>
        </w:rPr>
        <w:t xml:space="preserve"> </w:t>
      </w:r>
      <w:r>
        <w:rPr>
          <w:rFonts w:cs="Times New Roman"/>
        </w:rPr>
        <w:t xml:space="preserve">and maintain </w:t>
      </w:r>
      <w:r w:rsidR="008C5147">
        <w:rPr>
          <w:rFonts w:cs="Times New Roman"/>
        </w:rPr>
        <w:t xml:space="preserve">previous </w:t>
      </w:r>
      <w:r w:rsidR="00455426">
        <w:rPr>
          <w:rFonts w:cs="Times New Roman"/>
        </w:rPr>
        <w:t xml:space="preserve">government funding and </w:t>
      </w:r>
      <w:r w:rsidR="008C5147">
        <w:rPr>
          <w:rFonts w:cs="Times New Roman"/>
        </w:rPr>
        <w:t>auction announcement practices</w:t>
      </w:r>
      <w:r w:rsidR="002555BA">
        <w:rPr>
          <w:rFonts w:cs="Times New Roman"/>
        </w:rPr>
        <w:t xml:space="preserve"> of: (</w:t>
      </w:r>
      <w:proofErr w:type="spellStart"/>
      <w:r w:rsidR="002555BA">
        <w:rPr>
          <w:rFonts w:cs="Times New Roman"/>
        </w:rPr>
        <w:t>i</w:t>
      </w:r>
      <w:proofErr w:type="spellEnd"/>
      <w:r w:rsidR="002555BA">
        <w:rPr>
          <w:rFonts w:cs="Times New Roman"/>
        </w:rPr>
        <w:t>) annual borrowing plan</w:t>
      </w:r>
      <w:r w:rsidR="00E71F81">
        <w:rPr>
          <w:rFonts w:cs="Times New Roman"/>
        </w:rPr>
        <w:t xml:space="preserve"> (currently done as in table 2); (ii) </w:t>
      </w:r>
      <w:r w:rsidR="002555BA">
        <w:rPr>
          <w:rFonts w:cs="Times New Roman"/>
        </w:rPr>
        <w:t xml:space="preserve">provide </w:t>
      </w:r>
      <w:r w:rsidR="00E71F81">
        <w:rPr>
          <w:rFonts w:cs="Times New Roman"/>
        </w:rPr>
        <w:t xml:space="preserve">the </w:t>
      </w:r>
      <w:r w:rsidR="00455426">
        <w:rPr>
          <w:rFonts w:cs="Times New Roman"/>
        </w:rPr>
        <w:t>G</w:t>
      </w:r>
      <w:r w:rsidR="002555BA">
        <w:rPr>
          <w:rFonts w:cs="Times New Roman"/>
        </w:rPr>
        <w:t xml:space="preserve">IS benchmark maturities </w:t>
      </w:r>
      <w:r w:rsidR="00455426">
        <w:rPr>
          <w:rFonts w:cs="Times New Roman"/>
        </w:rPr>
        <w:t xml:space="preserve">to be targeted </w:t>
      </w:r>
      <w:r w:rsidR="00E71F81">
        <w:rPr>
          <w:rFonts w:cs="Times New Roman"/>
        </w:rPr>
        <w:t>and</w:t>
      </w:r>
      <w:r w:rsidR="002555BA">
        <w:rPr>
          <w:rFonts w:cs="Times New Roman"/>
        </w:rPr>
        <w:t xml:space="preserve"> issued in the cale</w:t>
      </w:r>
      <w:r w:rsidR="00E71F81">
        <w:rPr>
          <w:rFonts w:cs="Times New Roman"/>
        </w:rPr>
        <w:t>ndar year; (iii</w:t>
      </w:r>
      <w:r w:rsidR="002555BA">
        <w:rPr>
          <w:rFonts w:cs="Times New Roman"/>
        </w:rPr>
        <w:t>)</w:t>
      </w:r>
      <w:r w:rsidR="00E71F81">
        <w:rPr>
          <w:rFonts w:cs="Times New Roman"/>
        </w:rPr>
        <w:t xml:space="preserve"> provide targeted benchmark maturities of T-bills; (iv)</w:t>
      </w:r>
      <w:r w:rsidR="002555BA">
        <w:rPr>
          <w:rFonts w:cs="Times New Roman"/>
        </w:rPr>
        <w:t xml:space="preserve"> quarterly announcements and updates for inscrib</w:t>
      </w:r>
      <w:r w:rsidR="00E71F81">
        <w:rPr>
          <w:rFonts w:cs="Times New Roman"/>
        </w:rPr>
        <w:t>ed stock issuance; (v</w:t>
      </w:r>
      <w:r w:rsidR="00455426">
        <w:rPr>
          <w:rFonts w:cs="Times New Roman"/>
        </w:rPr>
        <w:t>) quarterly</w:t>
      </w:r>
      <w:r w:rsidR="002555BA">
        <w:rPr>
          <w:rFonts w:cs="Times New Roman"/>
        </w:rPr>
        <w:t xml:space="preserve"> announcements and </w:t>
      </w:r>
      <w:r w:rsidR="00455426">
        <w:rPr>
          <w:rFonts w:cs="Times New Roman"/>
        </w:rPr>
        <w:t xml:space="preserve">monthly </w:t>
      </w:r>
      <w:r w:rsidR="00E71F81">
        <w:rPr>
          <w:rFonts w:cs="Times New Roman"/>
        </w:rPr>
        <w:t>updates for T-bills.</w:t>
      </w:r>
    </w:p>
    <w:p w14:paraId="08548B35" w14:textId="0CDF86D6" w:rsidR="002555BA" w:rsidRDefault="002555BA" w:rsidP="00F04788">
      <w:pPr>
        <w:pStyle w:val="ListParagraph"/>
        <w:widowControl w:val="0"/>
        <w:numPr>
          <w:ilvl w:val="0"/>
          <w:numId w:val="2"/>
        </w:numPr>
        <w:spacing w:after="240"/>
        <w:ind w:left="0" w:firstLine="0"/>
        <w:contextualSpacing w:val="0"/>
        <w:jc w:val="both"/>
        <w:rPr>
          <w:rFonts w:cs="Times New Roman"/>
        </w:rPr>
      </w:pPr>
      <w:r>
        <w:rPr>
          <w:rFonts w:cs="Times New Roman"/>
        </w:rPr>
        <w:t xml:space="preserve">If in the interim due to </w:t>
      </w:r>
      <w:r w:rsidR="000D2109">
        <w:rPr>
          <w:rFonts w:cs="Times New Roman"/>
        </w:rPr>
        <w:t>ineff</w:t>
      </w:r>
      <w:r w:rsidR="00AC489E">
        <w:rPr>
          <w:rFonts w:cs="Times New Roman"/>
        </w:rPr>
        <w:t>ective</w:t>
      </w:r>
      <w:r w:rsidR="00BC54DC">
        <w:rPr>
          <w:rFonts w:cs="Times New Roman"/>
        </w:rPr>
        <w:t xml:space="preserve"> </w:t>
      </w:r>
      <w:r w:rsidR="007E4DAF">
        <w:rPr>
          <w:rFonts w:cs="Times New Roman"/>
        </w:rPr>
        <w:t xml:space="preserve">cash flow forecasting, </w:t>
      </w:r>
      <w:r w:rsidR="000D2109">
        <w:rPr>
          <w:rFonts w:cs="Times New Roman"/>
        </w:rPr>
        <w:t xml:space="preserve">the quarterly </w:t>
      </w:r>
      <w:r w:rsidR="003E6354">
        <w:rPr>
          <w:rFonts w:cs="Times New Roman"/>
        </w:rPr>
        <w:t>G</w:t>
      </w:r>
      <w:r w:rsidR="000D2109">
        <w:rPr>
          <w:rFonts w:cs="Times New Roman"/>
        </w:rPr>
        <w:t xml:space="preserve">IS announcement </w:t>
      </w:r>
      <w:r w:rsidR="00AC489E">
        <w:rPr>
          <w:rFonts w:cs="Times New Roman"/>
        </w:rPr>
        <w:t>should</w:t>
      </w:r>
      <w:r w:rsidR="007E4DAF">
        <w:rPr>
          <w:rFonts w:cs="Times New Roman"/>
        </w:rPr>
        <w:t xml:space="preserve"> </w:t>
      </w:r>
      <w:r w:rsidR="000D2109">
        <w:rPr>
          <w:rFonts w:cs="Times New Roman"/>
        </w:rPr>
        <w:t>provide</w:t>
      </w:r>
      <w:r w:rsidR="00E71F81">
        <w:rPr>
          <w:rFonts w:cs="Times New Roman"/>
        </w:rPr>
        <w:t xml:space="preserve">, </w:t>
      </w:r>
      <w:r w:rsidR="003E6354">
        <w:rPr>
          <w:rFonts w:cs="Times New Roman"/>
        </w:rPr>
        <w:t>at a minimum</w:t>
      </w:r>
      <w:r w:rsidR="00E71F81">
        <w:rPr>
          <w:rFonts w:cs="Times New Roman"/>
        </w:rPr>
        <w:t>,</w:t>
      </w:r>
      <w:r w:rsidR="000D2109">
        <w:rPr>
          <w:rFonts w:cs="Times New Roman"/>
        </w:rPr>
        <w:t xml:space="preserve"> indicative amounts to be issued and to be confirmed closer to the auction. The annual plan should </w:t>
      </w:r>
      <w:r w:rsidR="007E4DAF">
        <w:rPr>
          <w:rFonts w:cs="Times New Roman"/>
        </w:rPr>
        <w:t xml:space="preserve">have already </w:t>
      </w:r>
      <w:r w:rsidR="000D2109">
        <w:rPr>
          <w:rFonts w:cs="Times New Roman"/>
        </w:rPr>
        <w:t>indicate</w:t>
      </w:r>
      <w:r w:rsidR="007E4DAF">
        <w:rPr>
          <w:rFonts w:cs="Times New Roman"/>
        </w:rPr>
        <w:t>d</w:t>
      </w:r>
      <w:r w:rsidR="000D2109">
        <w:rPr>
          <w:rFonts w:cs="Times New Roman"/>
        </w:rPr>
        <w:t xml:space="preserve"> the maturities and FDM should not deter from that. However, this </w:t>
      </w:r>
      <w:r w:rsidR="007E4DAF">
        <w:rPr>
          <w:rFonts w:cs="Times New Roman"/>
        </w:rPr>
        <w:t xml:space="preserve">suggestion is a short-term </w:t>
      </w:r>
      <w:r w:rsidR="003E6354">
        <w:rPr>
          <w:rFonts w:cs="Times New Roman"/>
        </w:rPr>
        <w:t>stopgap</w:t>
      </w:r>
      <w:r w:rsidR="000D2109">
        <w:rPr>
          <w:rFonts w:cs="Times New Roman"/>
        </w:rPr>
        <w:t xml:space="preserve"> and the indicative amounts provided should be relatively close to the final amount.</w:t>
      </w:r>
    </w:p>
    <w:p w14:paraId="2E6D2F0C" w14:textId="76447B9B" w:rsidR="002555BA" w:rsidRDefault="00AC489E" w:rsidP="00F04788">
      <w:pPr>
        <w:pStyle w:val="ListParagraph"/>
        <w:widowControl w:val="0"/>
        <w:numPr>
          <w:ilvl w:val="0"/>
          <w:numId w:val="2"/>
        </w:numPr>
        <w:spacing w:after="240"/>
        <w:ind w:left="0" w:firstLine="0"/>
        <w:contextualSpacing w:val="0"/>
        <w:jc w:val="both"/>
        <w:rPr>
          <w:rFonts w:cs="Times New Roman"/>
        </w:rPr>
      </w:pPr>
      <w:r>
        <w:rPr>
          <w:rFonts w:cs="Times New Roman"/>
        </w:rPr>
        <w:t>That action is taken to r</w:t>
      </w:r>
      <w:r w:rsidR="007E4DAF">
        <w:rPr>
          <w:rFonts w:cs="Times New Roman"/>
        </w:rPr>
        <w:t xml:space="preserve">einitiate and maintain market communication and dialogue </w:t>
      </w:r>
      <w:r w:rsidR="00E71F81">
        <w:rPr>
          <w:rFonts w:cs="Times New Roman"/>
        </w:rPr>
        <w:t xml:space="preserve">between FMD and market participants </w:t>
      </w:r>
      <w:r w:rsidR="007E4DAF">
        <w:rPr>
          <w:rFonts w:cs="Times New Roman"/>
        </w:rPr>
        <w:t xml:space="preserve">as </w:t>
      </w:r>
      <w:r w:rsidR="00E71F81">
        <w:rPr>
          <w:rFonts w:cs="Times New Roman"/>
        </w:rPr>
        <w:t>to FMD’s annual borrowing plan</w:t>
      </w:r>
      <w:r w:rsidR="003E6354">
        <w:rPr>
          <w:rFonts w:cs="Times New Roman"/>
        </w:rPr>
        <w:t>, issuance strategies,</w:t>
      </w:r>
      <w:r w:rsidR="00E71F81">
        <w:rPr>
          <w:rFonts w:cs="Times New Roman"/>
        </w:rPr>
        <w:t xml:space="preserve"> and market development.</w:t>
      </w:r>
    </w:p>
    <w:p w14:paraId="2DB29B14" w14:textId="0839AFC0" w:rsidR="006D6C98" w:rsidRDefault="00AC489E" w:rsidP="00F04788">
      <w:pPr>
        <w:pStyle w:val="ListParagraph"/>
        <w:widowControl w:val="0"/>
        <w:numPr>
          <w:ilvl w:val="0"/>
          <w:numId w:val="2"/>
        </w:numPr>
        <w:spacing w:after="240"/>
        <w:ind w:left="0" w:firstLine="0"/>
        <w:contextualSpacing w:val="0"/>
        <w:jc w:val="both"/>
        <w:rPr>
          <w:rFonts w:cs="Times New Roman"/>
        </w:rPr>
      </w:pPr>
      <w:r w:rsidRPr="005035E0">
        <w:rPr>
          <w:rFonts w:cs="Times New Roman"/>
        </w:rPr>
        <w:t xml:space="preserve">That </w:t>
      </w:r>
      <w:r w:rsidR="003E6354" w:rsidRPr="005035E0">
        <w:rPr>
          <w:rFonts w:cs="Times New Roman"/>
        </w:rPr>
        <w:t xml:space="preserve">FDM and </w:t>
      </w:r>
      <w:r w:rsidRPr="005035E0">
        <w:rPr>
          <w:rFonts w:cs="Times New Roman"/>
        </w:rPr>
        <w:t xml:space="preserve">the </w:t>
      </w:r>
      <w:r w:rsidR="003E6354" w:rsidRPr="005035E0">
        <w:rPr>
          <w:rFonts w:cs="Times New Roman"/>
        </w:rPr>
        <w:t>BPNG</w:t>
      </w:r>
      <w:r w:rsidR="003E6354">
        <w:rPr>
          <w:rFonts w:cs="Times New Roman"/>
        </w:rPr>
        <w:t xml:space="preserve"> a</w:t>
      </w:r>
      <w:r w:rsidR="00DA4A10">
        <w:rPr>
          <w:rFonts w:cs="Times New Roman"/>
        </w:rPr>
        <w:t xml:space="preserve">llow and </w:t>
      </w:r>
      <w:r w:rsidR="003E6354">
        <w:rPr>
          <w:rFonts w:cs="Times New Roman"/>
        </w:rPr>
        <w:t>introduce</w:t>
      </w:r>
      <w:r w:rsidR="00DA4A10">
        <w:rPr>
          <w:rFonts w:cs="Times New Roman"/>
        </w:rPr>
        <w:t xml:space="preserve"> n</w:t>
      </w:r>
      <w:r w:rsidR="00A71AF9">
        <w:rPr>
          <w:rFonts w:cs="Times New Roman"/>
        </w:rPr>
        <w:t>on-</w:t>
      </w:r>
      <w:r w:rsidR="00DA4A10">
        <w:rPr>
          <w:rFonts w:cs="Times New Roman"/>
        </w:rPr>
        <w:t>competitive</w:t>
      </w:r>
      <w:r w:rsidR="00A71AF9">
        <w:rPr>
          <w:rFonts w:cs="Times New Roman"/>
        </w:rPr>
        <w:t xml:space="preserve"> bidding</w:t>
      </w:r>
      <w:r w:rsidR="00DA4A10">
        <w:rPr>
          <w:rFonts w:cs="Times New Roman"/>
        </w:rPr>
        <w:t xml:space="preserve"> for retail, corporates, and small to medium sized entities. </w:t>
      </w:r>
      <w:r>
        <w:rPr>
          <w:rFonts w:cs="Times New Roman"/>
        </w:rPr>
        <w:t>This broadens the investor base and p</w:t>
      </w:r>
      <w:r w:rsidR="00DA4A10">
        <w:rPr>
          <w:rFonts w:cs="Times New Roman"/>
        </w:rPr>
        <w:t>romote</w:t>
      </w:r>
      <w:r>
        <w:rPr>
          <w:rFonts w:cs="Times New Roman"/>
        </w:rPr>
        <w:t>s</w:t>
      </w:r>
      <w:r w:rsidR="00DA4A10">
        <w:rPr>
          <w:rFonts w:cs="Times New Roman"/>
        </w:rPr>
        <w:t xml:space="preserve"> access to the primary market for small investors through market intermediaries e.g. banks</w:t>
      </w:r>
      <w:r w:rsidR="003E6354">
        <w:rPr>
          <w:rFonts w:cs="Times New Roman"/>
        </w:rPr>
        <w:t xml:space="preserve"> and or brokers.</w:t>
      </w:r>
    </w:p>
    <w:p w14:paraId="37F41F30" w14:textId="388D88C1" w:rsidR="000908E2" w:rsidRDefault="00AC489E" w:rsidP="00F04788">
      <w:pPr>
        <w:pStyle w:val="ListParagraph"/>
        <w:widowControl w:val="0"/>
        <w:numPr>
          <w:ilvl w:val="0"/>
          <w:numId w:val="2"/>
        </w:numPr>
        <w:spacing w:after="240"/>
        <w:ind w:left="0" w:firstLine="0"/>
        <w:contextualSpacing w:val="0"/>
        <w:jc w:val="both"/>
        <w:rPr>
          <w:rFonts w:cs="Times New Roman"/>
        </w:rPr>
      </w:pPr>
      <w:r w:rsidRPr="005035E0">
        <w:rPr>
          <w:rFonts w:cs="Times New Roman"/>
        </w:rPr>
        <w:t xml:space="preserve">That </w:t>
      </w:r>
      <w:r w:rsidR="003E6354" w:rsidRPr="005035E0">
        <w:rPr>
          <w:rFonts w:cs="Times New Roman"/>
        </w:rPr>
        <w:t>Treasury and FMD</w:t>
      </w:r>
      <w:r w:rsidR="003E6354">
        <w:rPr>
          <w:rFonts w:cs="Times New Roman"/>
        </w:rPr>
        <w:t xml:space="preserve"> change</w:t>
      </w:r>
      <w:r w:rsidR="000908E2">
        <w:rPr>
          <w:rFonts w:cs="Times New Roman"/>
        </w:rPr>
        <w:t xml:space="preserve"> </w:t>
      </w:r>
      <w:r>
        <w:rPr>
          <w:rFonts w:cs="Times New Roman"/>
        </w:rPr>
        <w:t xml:space="preserve">the </w:t>
      </w:r>
      <w:r w:rsidR="000908E2">
        <w:rPr>
          <w:rFonts w:cs="Times New Roman"/>
        </w:rPr>
        <w:t xml:space="preserve">BPNG competitive bidding in the primary market for government securities to non-competitive so </w:t>
      </w:r>
      <w:r>
        <w:rPr>
          <w:rFonts w:cs="Times New Roman"/>
        </w:rPr>
        <w:t xml:space="preserve">that the BPNG does not have nor be </w:t>
      </w:r>
      <w:r w:rsidR="000908E2">
        <w:rPr>
          <w:rFonts w:cs="Times New Roman"/>
        </w:rPr>
        <w:t>not to have or perceive</w:t>
      </w:r>
      <w:r w:rsidR="00BC54DC">
        <w:rPr>
          <w:rFonts w:cs="Times New Roman"/>
        </w:rPr>
        <w:t>d</w:t>
      </w:r>
      <w:r w:rsidR="000908E2">
        <w:rPr>
          <w:rFonts w:cs="Times New Roman"/>
        </w:rPr>
        <w:t xml:space="preserve"> to have influence over the auction pricing.</w:t>
      </w:r>
    </w:p>
    <w:p w14:paraId="2B5D54DF" w14:textId="77777777" w:rsidR="00DA4A10" w:rsidRDefault="00AC489E" w:rsidP="00F04788">
      <w:pPr>
        <w:pStyle w:val="ListParagraph"/>
        <w:widowControl w:val="0"/>
        <w:numPr>
          <w:ilvl w:val="0"/>
          <w:numId w:val="2"/>
        </w:numPr>
        <w:spacing w:after="240"/>
        <w:ind w:left="0" w:firstLine="0"/>
        <w:contextualSpacing w:val="0"/>
        <w:jc w:val="both"/>
        <w:rPr>
          <w:rFonts w:cs="Times New Roman"/>
        </w:rPr>
      </w:pPr>
      <w:r>
        <w:rPr>
          <w:rFonts w:cs="Times New Roman"/>
        </w:rPr>
        <w:t xml:space="preserve">That </w:t>
      </w:r>
      <w:r w:rsidR="003E6354">
        <w:rPr>
          <w:rFonts w:cs="Times New Roman"/>
        </w:rPr>
        <w:t xml:space="preserve">FMD and </w:t>
      </w:r>
      <w:r>
        <w:rPr>
          <w:rFonts w:cs="Times New Roman"/>
        </w:rPr>
        <w:t xml:space="preserve">the </w:t>
      </w:r>
      <w:r w:rsidR="003E6354">
        <w:rPr>
          <w:rFonts w:cs="Times New Roman"/>
        </w:rPr>
        <w:t xml:space="preserve">BPNG lower </w:t>
      </w:r>
      <w:r w:rsidR="00DA4A10" w:rsidRPr="00DA4A10">
        <w:rPr>
          <w:rFonts w:cs="Times New Roman"/>
        </w:rPr>
        <w:t xml:space="preserve">the </w:t>
      </w:r>
      <w:r w:rsidR="007E4DAF">
        <w:rPr>
          <w:rFonts w:cs="Times New Roman"/>
        </w:rPr>
        <w:t xml:space="preserve">minimum bid </w:t>
      </w:r>
      <w:r w:rsidR="00DA4A10" w:rsidRPr="00DA4A10">
        <w:rPr>
          <w:rFonts w:cs="Times New Roman"/>
        </w:rPr>
        <w:t>threshold</w:t>
      </w:r>
      <w:r w:rsidR="00034B43">
        <w:rPr>
          <w:rFonts w:cs="Times New Roman"/>
        </w:rPr>
        <w:t xml:space="preserve"> of </w:t>
      </w:r>
      <w:r w:rsidR="00341A40">
        <w:rPr>
          <w:rFonts w:cs="Times New Roman"/>
        </w:rPr>
        <w:t>PG</w:t>
      </w:r>
      <w:r w:rsidR="00034B43">
        <w:rPr>
          <w:rFonts w:cs="Times New Roman"/>
        </w:rPr>
        <w:t>K100</w:t>
      </w:r>
      <w:proofErr w:type="gramStart"/>
      <w:r w:rsidR="007E4DAF">
        <w:rPr>
          <w:rFonts w:cs="Times New Roman"/>
        </w:rPr>
        <w:t>,000</w:t>
      </w:r>
      <w:proofErr w:type="gramEnd"/>
      <w:r w:rsidR="00DA4A10">
        <w:rPr>
          <w:rFonts w:cs="Times New Roman"/>
        </w:rPr>
        <w:t xml:space="preserve"> for </w:t>
      </w:r>
      <w:r w:rsidR="007E4DAF">
        <w:rPr>
          <w:rFonts w:cs="Times New Roman"/>
        </w:rPr>
        <w:t xml:space="preserve">small </w:t>
      </w:r>
      <w:r w:rsidR="00DA4A10">
        <w:rPr>
          <w:rFonts w:cs="Times New Roman"/>
        </w:rPr>
        <w:t xml:space="preserve">corporates and individuals that wish to take part in </w:t>
      </w:r>
      <w:r w:rsidR="00DA4A10" w:rsidRPr="0040148F">
        <w:rPr>
          <w:rFonts w:cs="Times New Roman"/>
        </w:rPr>
        <w:t>the primary market</w:t>
      </w:r>
      <w:r w:rsidR="00E71F81">
        <w:rPr>
          <w:rFonts w:cs="Times New Roman"/>
        </w:rPr>
        <w:t>, which c</w:t>
      </w:r>
      <w:r w:rsidR="00DA4A10" w:rsidRPr="0040148F">
        <w:rPr>
          <w:rFonts w:cs="Times New Roman"/>
        </w:rPr>
        <w:t xml:space="preserve">ould </w:t>
      </w:r>
      <w:r w:rsidR="007E4DAF">
        <w:rPr>
          <w:rFonts w:cs="Times New Roman"/>
        </w:rPr>
        <w:t xml:space="preserve">help to </w:t>
      </w:r>
      <w:r w:rsidR="00DA4A10" w:rsidRPr="0040148F">
        <w:rPr>
          <w:rFonts w:cs="Times New Roman"/>
        </w:rPr>
        <w:t>diversify the investor base and reduce concentratio</w:t>
      </w:r>
      <w:r w:rsidR="00DA4A10">
        <w:rPr>
          <w:rFonts w:cs="Times New Roman"/>
        </w:rPr>
        <w:t>n</w:t>
      </w:r>
      <w:r w:rsidR="008C5147">
        <w:rPr>
          <w:rFonts w:cs="Times New Roman"/>
        </w:rPr>
        <w:t>.</w:t>
      </w:r>
    </w:p>
    <w:p w14:paraId="368DC016" w14:textId="04548FA4" w:rsidR="00034B43" w:rsidRPr="00406561" w:rsidRDefault="00AC489E" w:rsidP="00F04788">
      <w:pPr>
        <w:pStyle w:val="ListParagraph"/>
        <w:widowControl w:val="0"/>
        <w:numPr>
          <w:ilvl w:val="0"/>
          <w:numId w:val="2"/>
        </w:numPr>
        <w:spacing w:after="240"/>
        <w:ind w:left="0" w:firstLine="0"/>
        <w:contextualSpacing w:val="0"/>
        <w:jc w:val="both"/>
        <w:rPr>
          <w:rFonts w:cs="Times New Roman"/>
        </w:rPr>
      </w:pPr>
      <w:r w:rsidRPr="005035E0">
        <w:rPr>
          <w:rFonts w:cs="Times New Roman"/>
        </w:rPr>
        <w:t>That e</w:t>
      </w:r>
      <w:r w:rsidR="00406561" w:rsidRPr="005035E0">
        <w:rPr>
          <w:rFonts w:cs="Times New Roman"/>
        </w:rPr>
        <w:t xml:space="preserve">ndeavors </w:t>
      </w:r>
      <w:r w:rsidRPr="005035E0">
        <w:rPr>
          <w:rFonts w:cs="Times New Roman"/>
        </w:rPr>
        <w:t xml:space="preserve">be made </w:t>
      </w:r>
      <w:r w:rsidR="00406561" w:rsidRPr="005035E0">
        <w:rPr>
          <w:rFonts w:cs="Times New Roman"/>
        </w:rPr>
        <w:t>to diversify</w:t>
      </w:r>
      <w:r w:rsidR="00C3581D" w:rsidRPr="005035E0">
        <w:rPr>
          <w:rFonts w:cs="Times New Roman"/>
        </w:rPr>
        <w:t xml:space="preserve"> the</w:t>
      </w:r>
      <w:r w:rsidR="00C3581D" w:rsidRPr="00406561">
        <w:rPr>
          <w:rFonts w:cs="Times New Roman"/>
        </w:rPr>
        <w:t xml:space="preserve"> investor base</w:t>
      </w:r>
      <w:r w:rsidR="00406561">
        <w:rPr>
          <w:rFonts w:cs="Times New Roman"/>
        </w:rPr>
        <w:t xml:space="preserve"> and smooth out and distribute holdings of government securities</w:t>
      </w:r>
      <w:r>
        <w:rPr>
          <w:rFonts w:cs="Times New Roman"/>
        </w:rPr>
        <w:t>.</w:t>
      </w:r>
      <w:r w:rsidR="00BC54DC" w:rsidRPr="00BC54DC">
        <w:rPr>
          <w:rFonts w:cs="Times New Roman"/>
        </w:rPr>
        <w:t xml:space="preserve"> </w:t>
      </w:r>
      <w:r w:rsidR="00BC54DC">
        <w:rPr>
          <w:rFonts w:cs="Times New Roman"/>
        </w:rPr>
        <w:t>W</w:t>
      </w:r>
      <w:r w:rsidR="00406561">
        <w:rPr>
          <w:rFonts w:cs="Times New Roman"/>
        </w:rPr>
        <w:t xml:space="preserve">hile </w:t>
      </w:r>
      <w:r>
        <w:rPr>
          <w:rFonts w:cs="Times New Roman"/>
        </w:rPr>
        <w:t xml:space="preserve">this is </w:t>
      </w:r>
      <w:r w:rsidR="00406561">
        <w:rPr>
          <w:rFonts w:cs="Times New Roman"/>
        </w:rPr>
        <w:t xml:space="preserve">a challenge and </w:t>
      </w:r>
      <w:r>
        <w:rPr>
          <w:rFonts w:cs="Times New Roman"/>
        </w:rPr>
        <w:t xml:space="preserve">will </w:t>
      </w:r>
      <w:r w:rsidR="00406561">
        <w:rPr>
          <w:rFonts w:cs="Times New Roman"/>
        </w:rPr>
        <w:t>requir</w:t>
      </w:r>
      <w:r w:rsidR="00A25D5F">
        <w:rPr>
          <w:rFonts w:cs="Times New Roman"/>
        </w:rPr>
        <w:t xml:space="preserve">ing </w:t>
      </w:r>
      <w:r w:rsidR="00406561">
        <w:rPr>
          <w:rFonts w:cs="Times New Roman"/>
        </w:rPr>
        <w:t xml:space="preserve">considerable time to achieve, </w:t>
      </w:r>
      <w:r>
        <w:rPr>
          <w:rFonts w:cs="Times New Roman"/>
        </w:rPr>
        <w:t xml:space="preserve">it </w:t>
      </w:r>
      <w:r w:rsidR="00C3581D" w:rsidRPr="00406561">
        <w:rPr>
          <w:rFonts w:cs="Times New Roman"/>
        </w:rPr>
        <w:t xml:space="preserve">must be a high priority </w:t>
      </w:r>
      <w:r w:rsidR="00406561">
        <w:rPr>
          <w:rFonts w:cs="Times New Roman"/>
        </w:rPr>
        <w:t xml:space="preserve">for the Treasury, </w:t>
      </w:r>
      <w:r>
        <w:rPr>
          <w:rFonts w:cs="Times New Roman"/>
        </w:rPr>
        <w:t xml:space="preserve">the </w:t>
      </w:r>
      <w:r w:rsidR="00406561">
        <w:rPr>
          <w:rFonts w:cs="Times New Roman"/>
        </w:rPr>
        <w:t xml:space="preserve">BPNG, and the suggested Domestic Bond Market Development Committee and Dealer Advisory </w:t>
      </w:r>
      <w:r w:rsidR="0060282D">
        <w:rPr>
          <w:rFonts w:cs="Times New Roman"/>
        </w:rPr>
        <w:t>Panel.</w:t>
      </w:r>
    </w:p>
    <w:p w14:paraId="770ED3FF" w14:textId="77777777" w:rsidR="005F277B" w:rsidRPr="000A3081" w:rsidRDefault="00AC489E" w:rsidP="000A3081">
      <w:pPr>
        <w:pStyle w:val="ListParagraph"/>
        <w:widowControl w:val="0"/>
        <w:numPr>
          <w:ilvl w:val="0"/>
          <w:numId w:val="2"/>
        </w:numPr>
        <w:spacing w:after="240"/>
        <w:ind w:left="0" w:firstLine="0"/>
        <w:contextualSpacing w:val="0"/>
        <w:jc w:val="both"/>
      </w:pPr>
      <w:r w:rsidRPr="005035E0">
        <w:t xml:space="preserve">That </w:t>
      </w:r>
      <w:r w:rsidR="003E6354" w:rsidRPr="005035E0">
        <w:t>FMD strive to,</w:t>
      </w:r>
      <w:r w:rsidR="003E6354">
        <w:t xml:space="preserve"> over time, c</w:t>
      </w:r>
      <w:r w:rsidR="008C5147" w:rsidRPr="003D7712">
        <w:t xml:space="preserve">onsolidate </w:t>
      </w:r>
      <w:r w:rsidR="007E4DAF" w:rsidRPr="003D7712">
        <w:t>the 23-benchmark</w:t>
      </w:r>
      <w:r w:rsidR="008C5147" w:rsidRPr="003D7712">
        <w:t xml:space="preserve"> lines</w:t>
      </w:r>
      <w:r w:rsidR="00A5002D">
        <w:t xml:space="preserve"> with due cognizance to </w:t>
      </w:r>
      <w:proofErr w:type="gramStart"/>
      <w:r w:rsidR="00A5002D">
        <w:t>roll-over</w:t>
      </w:r>
      <w:proofErr w:type="gramEnd"/>
      <w:r w:rsidR="00A5002D">
        <w:t xml:space="preserve"> risks</w:t>
      </w:r>
      <w:r w:rsidR="007E4DAF">
        <w:t xml:space="preserve">. </w:t>
      </w:r>
      <w:r w:rsidR="008C5147" w:rsidRPr="001F2ADF">
        <w:t>This means that, instead of issuing small amounts of bonds on slightly different maturity dates, and with slightly different coupons, the issuer concentrates issues into larger lines of bonds. These larger</w:t>
      </w:r>
      <w:r w:rsidR="008642E0">
        <w:t xml:space="preserve"> lines would potentially widen the holdings from different investors, in each individual line, and promote </w:t>
      </w:r>
      <w:r w:rsidR="008C5147" w:rsidRPr="001F2ADF">
        <w:t>secondary market</w:t>
      </w:r>
      <w:r w:rsidR="008642E0">
        <w:t xml:space="preserve"> transactions</w:t>
      </w:r>
      <w:r w:rsidR="008C5147" w:rsidRPr="001F2ADF">
        <w:t xml:space="preserve">. </w:t>
      </w:r>
    </w:p>
    <w:p w14:paraId="0EE7CCD5" w14:textId="0485837D" w:rsidR="00672B19" w:rsidRPr="00406561" w:rsidRDefault="00406561" w:rsidP="00F04788">
      <w:pPr>
        <w:pStyle w:val="ListParagraph"/>
        <w:widowControl w:val="0"/>
        <w:numPr>
          <w:ilvl w:val="0"/>
          <w:numId w:val="2"/>
        </w:numPr>
        <w:spacing w:after="240"/>
        <w:ind w:left="0" w:firstLine="0"/>
        <w:contextualSpacing w:val="0"/>
        <w:jc w:val="both"/>
      </w:pPr>
      <w:r>
        <w:t>As previously mentioned in the M</w:t>
      </w:r>
      <w:r w:rsidR="00AC489E">
        <w:t>TDS</w:t>
      </w:r>
      <w:r w:rsidR="00742582">
        <w:t xml:space="preserve"> section</w:t>
      </w:r>
      <w:r>
        <w:t>, a</w:t>
      </w:r>
      <w:r w:rsidR="00672B19">
        <w:t xml:space="preserve">ctions by FMD and </w:t>
      </w:r>
      <w:r w:rsidR="00AC489E">
        <w:t xml:space="preserve">the </w:t>
      </w:r>
      <w:r w:rsidR="003D7712">
        <w:t>BPNG to consolidate</w:t>
      </w:r>
      <w:r w:rsidR="00672B19">
        <w:t xml:space="preserve"> benchmarks lines, reconfigure the maturity composition, and manage refinancing risks of maturing </w:t>
      </w:r>
      <w:r w:rsidR="008642E0">
        <w:t>G</w:t>
      </w:r>
      <w:r w:rsidR="00672B19">
        <w:t xml:space="preserve">IS lines and T-bills </w:t>
      </w:r>
      <w:r>
        <w:t>can take two forms:  (</w:t>
      </w:r>
      <w:proofErr w:type="spellStart"/>
      <w:r>
        <w:t>i</w:t>
      </w:r>
      <w:proofErr w:type="spellEnd"/>
      <w:r>
        <w:t xml:space="preserve">) </w:t>
      </w:r>
      <w:r w:rsidRPr="00406561">
        <w:rPr>
          <w:rFonts w:cs="Times New Roman"/>
        </w:rPr>
        <w:t>B</w:t>
      </w:r>
      <w:r w:rsidR="00672B19" w:rsidRPr="00406561">
        <w:rPr>
          <w:rFonts w:cs="Times New Roman"/>
        </w:rPr>
        <w:t>uybacks – older less liquid governmen</w:t>
      </w:r>
      <w:r>
        <w:rPr>
          <w:rFonts w:cs="Times New Roman"/>
        </w:rPr>
        <w:t xml:space="preserve">t bonds are purchased for cash and reissued in new </w:t>
      </w:r>
      <w:r>
        <w:rPr>
          <w:rFonts w:cs="Times New Roman"/>
        </w:rPr>
        <w:lastRenderedPageBreak/>
        <w:t xml:space="preserve">benchmark line; (ii) </w:t>
      </w:r>
      <w:r w:rsidR="00672B19" w:rsidRPr="00406561">
        <w:rPr>
          <w:rFonts w:cs="Times New Roman"/>
        </w:rPr>
        <w:t xml:space="preserve">Switches (often referred to as exchanges) – older less liquid government bonds are switched for a new benchmark issue. </w:t>
      </w:r>
    </w:p>
    <w:p w14:paraId="6DA9D022" w14:textId="79060354" w:rsidR="008C5147" w:rsidRDefault="008642E0" w:rsidP="00F04788">
      <w:pPr>
        <w:pStyle w:val="ListParagraph"/>
        <w:widowControl w:val="0"/>
        <w:numPr>
          <w:ilvl w:val="0"/>
          <w:numId w:val="2"/>
        </w:numPr>
        <w:spacing w:after="240"/>
        <w:ind w:left="0" w:firstLine="0"/>
        <w:contextualSpacing w:val="0"/>
        <w:jc w:val="both"/>
        <w:rPr>
          <w:rFonts w:cs="Times New Roman"/>
        </w:rPr>
      </w:pPr>
      <w:r>
        <w:rPr>
          <w:rFonts w:cs="Times New Roman"/>
        </w:rPr>
        <w:t xml:space="preserve">Treasury, FMD, and </w:t>
      </w:r>
      <w:r w:rsidR="00AC489E">
        <w:rPr>
          <w:rFonts w:cs="Times New Roman"/>
        </w:rPr>
        <w:t xml:space="preserve">the </w:t>
      </w:r>
      <w:r>
        <w:rPr>
          <w:rFonts w:cs="Times New Roman"/>
        </w:rPr>
        <w:t>BPNG should give c</w:t>
      </w:r>
      <w:r w:rsidR="00A5002D">
        <w:rPr>
          <w:rFonts w:cs="Times New Roman"/>
        </w:rPr>
        <w:t>onsideration and assessmen</w:t>
      </w:r>
      <w:r>
        <w:rPr>
          <w:rFonts w:cs="Times New Roman"/>
        </w:rPr>
        <w:t xml:space="preserve">t </w:t>
      </w:r>
      <w:r w:rsidR="00A25D5F">
        <w:rPr>
          <w:rFonts w:cs="Times New Roman"/>
        </w:rPr>
        <w:t xml:space="preserve">given </w:t>
      </w:r>
      <w:r w:rsidR="00A5002D">
        <w:rPr>
          <w:rFonts w:cs="Times New Roman"/>
        </w:rPr>
        <w:t xml:space="preserve">to </w:t>
      </w:r>
      <w:r>
        <w:rPr>
          <w:rFonts w:cs="Times New Roman"/>
        </w:rPr>
        <w:t>the possible use of</w:t>
      </w:r>
      <w:r w:rsidR="00A5002D">
        <w:rPr>
          <w:rFonts w:cs="Times New Roman"/>
        </w:rPr>
        <w:t xml:space="preserve"> b</w:t>
      </w:r>
      <w:r w:rsidR="002555BA">
        <w:rPr>
          <w:rFonts w:cs="Times New Roman"/>
        </w:rPr>
        <w:t>ond syndication</w:t>
      </w:r>
      <w:r w:rsidR="00A5002D">
        <w:rPr>
          <w:rFonts w:cs="Times New Roman"/>
        </w:rPr>
        <w:t>s for certain issuances practices given the following assumptions: (</w:t>
      </w:r>
      <w:proofErr w:type="spellStart"/>
      <w:r w:rsidR="00A5002D">
        <w:rPr>
          <w:rFonts w:cs="Times New Roman"/>
        </w:rPr>
        <w:t>i</w:t>
      </w:r>
      <w:proofErr w:type="spellEnd"/>
      <w:r w:rsidR="00A5002D">
        <w:rPr>
          <w:rFonts w:cs="Times New Roman"/>
        </w:rPr>
        <w:t xml:space="preserve">) consolidate benchmark lines, (ii) the possible need for longer dated benchmarks </w:t>
      </w:r>
      <w:r>
        <w:rPr>
          <w:rFonts w:cs="Times New Roman"/>
        </w:rPr>
        <w:t xml:space="preserve">e.g. 10-years plus, </w:t>
      </w:r>
      <w:r w:rsidR="00A5002D">
        <w:rPr>
          <w:rFonts w:cs="Times New Roman"/>
        </w:rPr>
        <w:t xml:space="preserve">based on </w:t>
      </w:r>
      <w:r>
        <w:rPr>
          <w:rFonts w:cs="Times New Roman"/>
        </w:rPr>
        <w:t xml:space="preserve">investor </w:t>
      </w:r>
      <w:r w:rsidR="00A5002D">
        <w:rPr>
          <w:rFonts w:cs="Times New Roman"/>
        </w:rPr>
        <w:t>demand and extension of Treasury’s average term to maturity, (iii) the unknown liquidity fac</w:t>
      </w:r>
      <w:r>
        <w:rPr>
          <w:rFonts w:cs="Times New Roman"/>
        </w:rPr>
        <w:t>tor farther out the yield curve to issue long dated securities; and (iv) often large government securities switch programs uses arrangers.</w:t>
      </w:r>
    </w:p>
    <w:p w14:paraId="26A29081" w14:textId="77777777" w:rsidR="00844D10" w:rsidRDefault="00844D10" w:rsidP="00F04788">
      <w:pPr>
        <w:pStyle w:val="ListParagraph"/>
        <w:widowControl w:val="0"/>
        <w:numPr>
          <w:ilvl w:val="0"/>
          <w:numId w:val="15"/>
        </w:numPr>
        <w:spacing w:after="240"/>
        <w:jc w:val="both"/>
      </w:pPr>
      <w:r w:rsidRPr="00D80090">
        <w:t>Generally governments issue domestic bonds through auctions and use syndications for external placements. Private companies and public owned entities mostly issue debt using bond syndications. Syndications are seen as being useful in assuring the placement will be successful</w:t>
      </w:r>
      <w:r>
        <w:t xml:space="preserve"> and are used by governments in establishing a first issue long dated security</w:t>
      </w:r>
      <w:r>
        <w:rPr>
          <w:rStyle w:val="FootnoteReference"/>
        </w:rPr>
        <w:footnoteReference w:id="19"/>
      </w:r>
      <w:r>
        <w:t xml:space="preserve">. </w:t>
      </w:r>
      <w:r w:rsidRPr="00D80090">
        <w:t>Globally, there are two types of </w:t>
      </w:r>
      <w:hyperlink r:id="rId15" w:history="1">
        <w:r w:rsidRPr="00D80090">
          <w:t>underwriting</w:t>
        </w:r>
      </w:hyperlink>
      <w:r w:rsidRPr="00D80090">
        <w:t xml:space="preserve"> for syndications: an </w:t>
      </w:r>
      <w:r w:rsidRPr="008642E0">
        <w:rPr>
          <w:i/>
        </w:rPr>
        <w:t>underwritten deal</w:t>
      </w:r>
      <w:r w:rsidRPr="00D80090">
        <w:t xml:space="preserve"> </w:t>
      </w:r>
      <w:r>
        <w:t xml:space="preserve">where the syndication assures the placement and </w:t>
      </w:r>
      <w:r w:rsidRPr="008642E0">
        <w:rPr>
          <w:i/>
        </w:rPr>
        <w:t>best-efforts</w:t>
      </w:r>
      <w:r>
        <w:t xml:space="preserve"> syndication where the syndication commits to a certain amount leaving the rest to market forces.</w:t>
      </w:r>
    </w:p>
    <w:p w14:paraId="458E6AEC" w14:textId="77777777" w:rsidR="00844D10" w:rsidRPr="00844D10" w:rsidRDefault="00844D10" w:rsidP="00844D10">
      <w:pPr>
        <w:pStyle w:val="ListParagraph"/>
        <w:widowControl w:val="0"/>
        <w:spacing w:after="240"/>
        <w:jc w:val="both"/>
      </w:pPr>
    </w:p>
    <w:p w14:paraId="03A8B335" w14:textId="1E5E97BA" w:rsidR="002555BA" w:rsidRPr="00DA4A10" w:rsidRDefault="00AC489E" w:rsidP="00F04788">
      <w:pPr>
        <w:pStyle w:val="ListParagraph"/>
        <w:widowControl w:val="0"/>
        <w:numPr>
          <w:ilvl w:val="0"/>
          <w:numId w:val="2"/>
        </w:numPr>
        <w:spacing w:after="240"/>
        <w:ind w:left="0" w:firstLine="0"/>
        <w:contextualSpacing w:val="0"/>
        <w:jc w:val="both"/>
        <w:rPr>
          <w:rFonts w:cs="Times New Roman"/>
        </w:rPr>
      </w:pPr>
      <w:r>
        <w:rPr>
          <w:rFonts w:cs="Times New Roman"/>
        </w:rPr>
        <w:t xml:space="preserve">That </w:t>
      </w:r>
      <w:r w:rsidR="00844D10">
        <w:rPr>
          <w:rFonts w:cs="Times New Roman"/>
        </w:rPr>
        <w:t xml:space="preserve">Treasury and FMD incorporate into the </w:t>
      </w:r>
      <w:r w:rsidR="00742582">
        <w:rPr>
          <w:rFonts w:cs="Times New Roman"/>
        </w:rPr>
        <w:t xml:space="preserve">future </w:t>
      </w:r>
      <w:r w:rsidR="00844D10">
        <w:rPr>
          <w:rFonts w:cs="Times New Roman"/>
        </w:rPr>
        <w:t>annual borrowing plan</w:t>
      </w:r>
      <w:r w:rsidR="00742582">
        <w:rPr>
          <w:rFonts w:cs="Times New Roman"/>
        </w:rPr>
        <w:t xml:space="preserve">s </w:t>
      </w:r>
      <w:r w:rsidR="008642E0">
        <w:rPr>
          <w:rFonts w:cs="Times New Roman"/>
        </w:rPr>
        <w:t xml:space="preserve">and MTDS the </w:t>
      </w:r>
      <w:r w:rsidR="00742582">
        <w:rPr>
          <w:rFonts w:cs="Times New Roman"/>
        </w:rPr>
        <w:t>potential</w:t>
      </w:r>
      <w:r w:rsidR="00844D10">
        <w:rPr>
          <w:rFonts w:cs="Times New Roman"/>
        </w:rPr>
        <w:t xml:space="preserve"> </w:t>
      </w:r>
      <w:r w:rsidR="00342ECC">
        <w:rPr>
          <w:rFonts w:cs="Times New Roman"/>
        </w:rPr>
        <w:t>external placements in the inter</w:t>
      </w:r>
      <w:r w:rsidR="008642E0">
        <w:rPr>
          <w:rFonts w:cs="Times New Roman"/>
        </w:rPr>
        <w:t>national capital markets</w:t>
      </w:r>
      <w:r w:rsidR="00943A2E">
        <w:rPr>
          <w:rFonts w:cs="Times New Roman"/>
        </w:rPr>
        <w:t xml:space="preserve"> and with the rationale, which may include:</w:t>
      </w:r>
      <w:r w:rsidR="00342ECC">
        <w:rPr>
          <w:rFonts w:cs="Times New Roman"/>
        </w:rPr>
        <w:t xml:space="preserve"> (</w:t>
      </w:r>
      <w:proofErr w:type="spellStart"/>
      <w:r w:rsidR="00342ECC">
        <w:rPr>
          <w:rFonts w:cs="Times New Roman"/>
        </w:rPr>
        <w:t>i</w:t>
      </w:r>
      <w:proofErr w:type="spellEnd"/>
      <w:r w:rsidR="00342ECC">
        <w:rPr>
          <w:rFonts w:cs="Times New Roman"/>
        </w:rPr>
        <w:t>) provid</w:t>
      </w:r>
      <w:r>
        <w:rPr>
          <w:rFonts w:cs="Times New Roman"/>
        </w:rPr>
        <w:t>ing</w:t>
      </w:r>
      <w:r w:rsidR="00342ECC">
        <w:rPr>
          <w:rFonts w:cs="Times New Roman"/>
        </w:rPr>
        <w:t xml:space="preserve"> alternative market-based financing instruments</w:t>
      </w:r>
      <w:r w:rsidR="00742582">
        <w:rPr>
          <w:rFonts w:cs="Times New Roman"/>
        </w:rPr>
        <w:t xml:space="preserve"> for the government</w:t>
      </w:r>
      <w:r w:rsidR="00943A2E">
        <w:rPr>
          <w:rFonts w:cs="Times New Roman"/>
        </w:rPr>
        <w:t>;</w:t>
      </w:r>
      <w:r w:rsidR="00342ECC">
        <w:rPr>
          <w:rFonts w:cs="Times New Roman"/>
        </w:rPr>
        <w:t xml:space="preserve"> (ii) alleviat</w:t>
      </w:r>
      <w:r>
        <w:rPr>
          <w:rFonts w:cs="Times New Roman"/>
        </w:rPr>
        <w:t>ing</w:t>
      </w:r>
      <w:r w:rsidR="00342ECC">
        <w:rPr>
          <w:rFonts w:cs="Times New Roman"/>
        </w:rPr>
        <w:t xml:space="preserve"> </w:t>
      </w:r>
      <w:r w:rsidR="008642E0">
        <w:rPr>
          <w:rFonts w:cs="Times New Roman"/>
        </w:rPr>
        <w:t xml:space="preserve">potential </w:t>
      </w:r>
      <w:r w:rsidR="00342ECC">
        <w:rPr>
          <w:rFonts w:cs="Times New Roman"/>
        </w:rPr>
        <w:t xml:space="preserve">funding </w:t>
      </w:r>
      <w:r w:rsidR="00943A2E">
        <w:rPr>
          <w:rFonts w:cs="Times New Roman"/>
        </w:rPr>
        <w:t xml:space="preserve">and liquidity constraints that may exist in the </w:t>
      </w:r>
      <w:r w:rsidR="00342ECC">
        <w:rPr>
          <w:rFonts w:cs="Times New Roman"/>
        </w:rPr>
        <w:t>domest</w:t>
      </w:r>
      <w:r w:rsidR="00943A2E">
        <w:rPr>
          <w:rFonts w:cs="Times New Roman"/>
        </w:rPr>
        <w:t>ic government securities market;</w:t>
      </w:r>
      <w:r w:rsidR="00342ECC">
        <w:rPr>
          <w:rFonts w:cs="Times New Roman"/>
        </w:rPr>
        <w:t xml:space="preserve"> (iii) put</w:t>
      </w:r>
      <w:r>
        <w:rPr>
          <w:rFonts w:cs="Times New Roman"/>
        </w:rPr>
        <w:t>ting</w:t>
      </w:r>
      <w:r w:rsidR="00342ECC">
        <w:rPr>
          <w:rFonts w:cs="Times New Roman"/>
        </w:rPr>
        <w:t xml:space="preserve"> PNG in the global markets and provid</w:t>
      </w:r>
      <w:r>
        <w:rPr>
          <w:rFonts w:cs="Times New Roman"/>
        </w:rPr>
        <w:t>ing the international market with the</w:t>
      </w:r>
      <w:r w:rsidR="00342ECC">
        <w:rPr>
          <w:rFonts w:cs="Times New Roman"/>
        </w:rPr>
        <w:t xml:space="preserve"> PNG sovereign and </w:t>
      </w:r>
      <w:r w:rsidR="00943A2E">
        <w:rPr>
          <w:rFonts w:cs="Times New Roman"/>
        </w:rPr>
        <w:t>macro</w:t>
      </w:r>
      <w:r w:rsidR="00342ECC">
        <w:rPr>
          <w:rFonts w:cs="Times New Roman"/>
        </w:rPr>
        <w:t xml:space="preserve">economic story, (iv) </w:t>
      </w:r>
      <w:r>
        <w:rPr>
          <w:rFonts w:cs="Times New Roman"/>
        </w:rPr>
        <w:t xml:space="preserve">allowing </w:t>
      </w:r>
      <w:r w:rsidR="00342ECC">
        <w:rPr>
          <w:rFonts w:cs="Times New Roman"/>
        </w:rPr>
        <w:t>international investor</w:t>
      </w:r>
      <w:r w:rsidR="00742582">
        <w:rPr>
          <w:rFonts w:cs="Times New Roman"/>
        </w:rPr>
        <w:t>s to take a position in PNG;</w:t>
      </w:r>
      <w:r w:rsidR="00342ECC">
        <w:rPr>
          <w:rFonts w:cs="Times New Roman"/>
        </w:rPr>
        <w:t xml:space="preserve"> and (v) provid</w:t>
      </w:r>
      <w:r>
        <w:rPr>
          <w:rFonts w:cs="Times New Roman"/>
        </w:rPr>
        <w:t>ing</w:t>
      </w:r>
      <w:r w:rsidR="00342ECC">
        <w:rPr>
          <w:rFonts w:cs="Times New Roman"/>
        </w:rPr>
        <w:t xml:space="preserve"> a PNG sovereign pricing reference.</w:t>
      </w:r>
    </w:p>
    <w:p w14:paraId="79EFB910" w14:textId="00D3C9BF" w:rsidR="0087384D" w:rsidRPr="0087384D" w:rsidRDefault="00AC489E" w:rsidP="00F04788">
      <w:pPr>
        <w:pStyle w:val="ListParagraph"/>
        <w:widowControl w:val="0"/>
        <w:numPr>
          <w:ilvl w:val="0"/>
          <w:numId w:val="2"/>
        </w:numPr>
        <w:spacing w:after="240"/>
        <w:ind w:left="0" w:firstLine="0"/>
        <w:contextualSpacing w:val="0"/>
        <w:jc w:val="both"/>
        <w:rPr>
          <w:rFonts w:cs="Times New Roman"/>
        </w:rPr>
      </w:pPr>
      <w:r>
        <w:rPr>
          <w:rFonts w:cs="Times New Roman"/>
        </w:rPr>
        <w:t>Attention should be given to u</w:t>
      </w:r>
      <w:r w:rsidR="0087384D">
        <w:rPr>
          <w:rFonts w:cs="Times New Roman"/>
        </w:rPr>
        <w:t>pdat</w:t>
      </w:r>
      <w:r>
        <w:rPr>
          <w:rFonts w:cs="Times New Roman"/>
        </w:rPr>
        <w:t>ing</w:t>
      </w:r>
      <w:r w:rsidR="0087384D">
        <w:rPr>
          <w:rFonts w:cs="Times New Roman"/>
        </w:rPr>
        <w:t xml:space="preserve"> and upgrad</w:t>
      </w:r>
      <w:r>
        <w:rPr>
          <w:rFonts w:cs="Times New Roman"/>
        </w:rPr>
        <w:t>ing the</w:t>
      </w:r>
      <w:r w:rsidR="0087384D" w:rsidRPr="0087384D">
        <w:rPr>
          <w:rFonts w:cs="Times New Roman"/>
        </w:rPr>
        <w:t xml:space="preserve"> custody and settlement arrang</w:t>
      </w:r>
      <w:r w:rsidR="0087384D">
        <w:rPr>
          <w:rFonts w:cs="Times New Roman"/>
        </w:rPr>
        <w:t>ements by introducing automated securities clearing and settlement</w:t>
      </w:r>
      <w:r w:rsidR="0087384D" w:rsidRPr="0087384D">
        <w:rPr>
          <w:rFonts w:cs="Times New Roman"/>
        </w:rPr>
        <w:t xml:space="preserve"> and</w:t>
      </w:r>
      <w:r w:rsidR="0087384D">
        <w:rPr>
          <w:rFonts w:cs="Times New Roman"/>
        </w:rPr>
        <w:t xml:space="preserve"> </w:t>
      </w:r>
      <w:r w:rsidR="0087384D" w:rsidRPr="0087384D">
        <w:rPr>
          <w:rFonts w:cs="Times New Roman"/>
        </w:rPr>
        <w:t>a Central Securities Depository for all government securities.</w:t>
      </w:r>
      <w:r w:rsidR="0087384D">
        <w:rPr>
          <w:rFonts w:cs="Times New Roman"/>
        </w:rPr>
        <w:t xml:space="preserve"> To be discussed in market infrastructure of this report.</w:t>
      </w:r>
    </w:p>
    <w:p w14:paraId="7C9B9F95" w14:textId="77777777" w:rsidR="001B0F0A" w:rsidRPr="00720653" w:rsidRDefault="001B0F0A" w:rsidP="00720653">
      <w:pPr>
        <w:pStyle w:val="ListParagraph"/>
        <w:widowControl w:val="0"/>
        <w:spacing w:after="240"/>
        <w:ind w:left="0"/>
        <w:contextualSpacing w:val="0"/>
        <w:jc w:val="both"/>
        <w:rPr>
          <w:rFonts w:cs="Times New Roman"/>
          <w:b/>
          <w:i/>
        </w:rPr>
      </w:pPr>
      <w:bookmarkStart w:id="6" w:name="_Toc293060778"/>
      <w:bookmarkStart w:id="7" w:name="_Toc293062294"/>
      <w:r w:rsidRPr="00D22491">
        <w:rPr>
          <w:rFonts w:cs="Times New Roman"/>
          <w:b/>
          <w:i/>
        </w:rPr>
        <w:t>Central Bank Bills-</w:t>
      </w:r>
      <w:bookmarkEnd w:id="6"/>
      <w:bookmarkEnd w:id="7"/>
    </w:p>
    <w:p w14:paraId="7946123C" w14:textId="77777777" w:rsidR="001B0F0A" w:rsidRPr="0073438D" w:rsidRDefault="001B0F0A" w:rsidP="00F04788">
      <w:pPr>
        <w:pStyle w:val="ListParagraph"/>
        <w:widowControl w:val="0"/>
        <w:numPr>
          <w:ilvl w:val="0"/>
          <w:numId w:val="2"/>
        </w:numPr>
        <w:spacing w:after="240"/>
        <w:ind w:left="0" w:firstLine="0"/>
        <w:contextualSpacing w:val="0"/>
        <w:jc w:val="both"/>
        <w:rPr>
          <w:rFonts w:cs="Times New Roman"/>
        </w:rPr>
      </w:pPr>
      <w:r w:rsidRPr="00720653">
        <w:rPr>
          <w:rFonts w:cs="Times New Roman"/>
        </w:rPr>
        <w:t>The main purpose for the issuance of central bank bills (CB</w:t>
      </w:r>
      <w:r w:rsidR="008B233B">
        <w:rPr>
          <w:rFonts w:cs="Times New Roman"/>
        </w:rPr>
        <w:t>B</w:t>
      </w:r>
      <w:r w:rsidRPr="00720653">
        <w:rPr>
          <w:rFonts w:cs="Times New Roman"/>
        </w:rPr>
        <w:t>)</w:t>
      </w:r>
      <w:r w:rsidR="008B233B">
        <w:rPr>
          <w:rFonts w:cs="Times New Roman"/>
        </w:rPr>
        <w:t xml:space="preserve"> is indirect monetary policy tools to manage financial system liquidity</w:t>
      </w:r>
      <w:r w:rsidRPr="00720653">
        <w:rPr>
          <w:rFonts w:cs="Times New Roman"/>
        </w:rPr>
        <w:t>.</w:t>
      </w:r>
      <w:r w:rsidRPr="0073438D">
        <w:rPr>
          <w:rFonts w:cs="Times New Roman"/>
        </w:rPr>
        <w:t xml:space="preserve"> This is not uncommon in emerging economies where the availability of liquid and tradable assets, such as government securities, is insufficient as well as the absence of a liquid repurchase market.</w:t>
      </w:r>
    </w:p>
    <w:p w14:paraId="1036726C" w14:textId="77777777" w:rsidR="001B0F0A" w:rsidRDefault="001B0F0A" w:rsidP="00F04788">
      <w:pPr>
        <w:pStyle w:val="ListParagraph"/>
        <w:widowControl w:val="0"/>
        <w:numPr>
          <w:ilvl w:val="0"/>
          <w:numId w:val="2"/>
        </w:numPr>
        <w:spacing w:after="240"/>
        <w:ind w:left="0" w:firstLine="0"/>
        <w:contextualSpacing w:val="0"/>
        <w:jc w:val="both"/>
        <w:rPr>
          <w:rFonts w:cs="Times New Roman"/>
        </w:rPr>
      </w:pPr>
      <w:r w:rsidRPr="00720653">
        <w:rPr>
          <w:rFonts w:cs="Times New Roman"/>
        </w:rPr>
        <w:t xml:space="preserve">Central bank bills are </w:t>
      </w:r>
      <w:r w:rsidR="008B233B">
        <w:rPr>
          <w:rFonts w:cs="Times New Roman"/>
        </w:rPr>
        <w:t>short-term discounted securities redeemable at par on maturity. CBB</w:t>
      </w:r>
      <w:r w:rsidR="00943A2E">
        <w:rPr>
          <w:rFonts w:cs="Times New Roman"/>
        </w:rPr>
        <w:t>s</w:t>
      </w:r>
      <w:r w:rsidR="008B233B">
        <w:rPr>
          <w:rFonts w:cs="Times New Roman"/>
        </w:rPr>
        <w:t xml:space="preserve"> are </w:t>
      </w:r>
      <w:r w:rsidRPr="00720653">
        <w:rPr>
          <w:rFonts w:cs="Times New Roman"/>
        </w:rPr>
        <w:t>issued</w:t>
      </w:r>
      <w:r w:rsidRPr="0073438D">
        <w:rPr>
          <w:rFonts w:cs="Times New Roman"/>
        </w:rPr>
        <w:t xml:space="preserve"> in maturities of 28-days, 63-days, and 91-days with the understanding betwe</w:t>
      </w:r>
      <w:r w:rsidR="00943A2E">
        <w:rPr>
          <w:rFonts w:cs="Times New Roman"/>
        </w:rPr>
        <w:t>en Treasury and BPNG</w:t>
      </w:r>
      <w:r w:rsidRPr="0073438D">
        <w:rPr>
          <w:rFonts w:cs="Times New Roman"/>
        </w:rPr>
        <w:t xml:space="preserve"> that CB</w:t>
      </w:r>
      <w:r w:rsidR="008B233B">
        <w:rPr>
          <w:rFonts w:cs="Times New Roman"/>
        </w:rPr>
        <w:t>B</w:t>
      </w:r>
      <w:r w:rsidRPr="0073438D">
        <w:rPr>
          <w:rFonts w:cs="Times New Roman"/>
        </w:rPr>
        <w:t xml:space="preserve">s will be issued in the short-end of </w:t>
      </w:r>
      <w:r w:rsidRPr="0073438D">
        <w:rPr>
          <w:rFonts w:cs="Times New Roman"/>
        </w:rPr>
        <w:lastRenderedPageBreak/>
        <w:t xml:space="preserve">the T-bill curve. </w:t>
      </w:r>
    </w:p>
    <w:p w14:paraId="13D05EFF" w14:textId="120AE1FB" w:rsidR="008B233B" w:rsidRPr="008B233B" w:rsidRDefault="008B233B" w:rsidP="00F04788">
      <w:pPr>
        <w:pStyle w:val="ListParagraph"/>
        <w:widowControl w:val="0"/>
        <w:numPr>
          <w:ilvl w:val="0"/>
          <w:numId w:val="2"/>
        </w:numPr>
        <w:spacing w:after="240"/>
        <w:ind w:left="0" w:firstLine="0"/>
        <w:contextualSpacing w:val="0"/>
        <w:jc w:val="both"/>
        <w:rPr>
          <w:rFonts w:cs="Times New Roman"/>
        </w:rPr>
      </w:pPr>
      <w:r w:rsidRPr="00720653">
        <w:rPr>
          <w:rFonts w:cs="Times New Roman"/>
        </w:rPr>
        <w:t>C</w:t>
      </w:r>
      <w:r w:rsidR="00943A2E">
        <w:rPr>
          <w:rFonts w:cs="Times New Roman"/>
        </w:rPr>
        <w:t xml:space="preserve">entral bank bills are issued with </w:t>
      </w:r>
      <w:r w:rsidRPr="00720653">
        <w:rPr>
          <w:rFonts w:cs="Times New Roman"/>
        </w:rPr>
        <w:t xml:space="preserve">the same </w:t>
      </w:r>
      <w:r w:rsidRPr="008B233B">
        <w:rPr>
          <w:rFonts w:cs="Times New Roman"/>
        </w:rPr>
        <w:t>terms and conditions</w:t>
      </w:r>
      <w:r w:rsidRPr="00720653">
        <w:rPr>
          <w:rFonts w:cs="Times New Roman"/>
        </w:rPr>
        <w:t xml:space="preserve"> as Treasury</w:t>
      </w:r>
      <w:r w:rsidRPr="0073438D">
        <w:rPr>
          <w:rFonts w:cs="Times New Roman"/>
        </w:rPr>
        <w:t xml:space="preserve"> </w:t>
      </w:r>
      <w:r w:rsidRPr="00720653">
        <w:rPr>
          <w:rFonts w:cs="Times New Roman"/>
        </w:rPr>
        <w:t>bills</w:t>
      </w:r>
      <w:r w:rsidRPr="0073438D">
        <w:rPr>
          <w:rFonts w:cs="Times New Roman"/>
        </w:rPr>
        <w:t xml:space="preserve"> via competitive and multiple priced auctions. C</w:t>
      </w:r>
      <w:r w:rsidR="00BC1045">
        <w:rPr>
          <w:rFonts w:cs="Times New Roman"/>
        </w:rPr>
        <w:t>BB’s</w:t>
      </w:r>
      <w:r w:rsidRPr="0073438D">
        <w:rPr>
          <w:rFonts w:cs="Times New Roman"/>
        </w:rPr>
        <w:t xml:space="preserve"> are auctioned weekly on Wednesdays</w:t>
      </w:r>
      <w:r w:rsidR="000908E2">
        <w:rPr>
          <w:rFonts w:cs="Times New Roman"/>
        </w:rPr>
        <w:t>, along with T-bills,</w:t>
      </w:r>
      <w:r w:rsidRPr="0073438D">
        <w:rPr>
          <w:rFonts w:cs="Times New Roman"/>
        </w:rPr>
        <w:t xml:space="preserve"> and settle</w:t>
      </w:r>
      <w:r w:rsidR="00BC1045">
        <w:rPr>
          <w:rFonts w:cs="Times New Roman"/>
        </w:rPr>
        <w:t>d</w:t>
      </w:r>
      <w:r w:rsidRPr="0073438D">
        <w:rPr>
          <w:rFonts w:cs="Times New Roman"/>
        </w:rPr>
        <w:t xml:space="preserve"> on Fridays.</w:t>
      </w:r>
    </w:p>
    <w:p w14:paraId="70184035" w14:textId="227E1EA4" w:rsidR="008B3D04" w:rsidRPr="00CD750D" w:rsidRDefault="008B233B" w:rsidP="008B3D04">
      <w:pPr>
        <w:pStyle w:val="ListParagraph"/>
        <w:widowControl w:val="0"/>
        <w:numPr>
          <w:ilvl w:val="0"/>
          <w:numId w:val="2"/>
        </w:numPr>
        <w:spacing w:after="240"/>
        <w:ind w:left="0" w:firstLine="0"/>
        <w:contextualSpacing w:val="0"/>
        <w:jc w:val="both"/>
        <w:rPr>
          <w:rFonts w:cs="Times New Roman"/>
        </w:rPr>
      </w:pPr>
      <w:r>
        <w:rPr>
          <w:rFonts w:cs="Times New Roman"/>
        </w:rPr>
        <w:t>C</w:t>
      </w:r>
      <w:r w:rsidR="00BC1045">
        <w:rPr>
          <w:rFonts w:cs="Times New Roman"/>
        </w:rPr>
        <w:t>BBs</w:t>
      </w:r>
      <w:r>
        <w:rPr>
          <w:rFonts w:cs="Times New Roman"/>
        </w:rPr>
        <w:t xml:space="preserve"> outstanding were </w:t>
      </w:r>
      <w:r w:rsidR="00341A40">
        <w:rPr>
          <w:rFonts w:cs="Times New Roman"/>
        </w:rPr>
        <w:t>PG</w:t>
      </w:r>
      <w:r>
        <w:rPr>
          <w:rFonts w:cs="Times New Roman"/>
        </w:rPr>
        <w:t>K3174.4mm as of Dec 31, 2013 and 2,525.0 as of Dec 31, 2014. The co</w:t>
      </w:r>
      <w:r w:rsidR="000908E2">
        <w:rPr>
          <w:rFonts w:cs="Times New Roman"/>
        </w:rPr>
        <w:t xml:space="preserve">mposition of CBBs, </w:t>
      </w:r>
      <w:r w:rsidR="00BC1045">
        <w:rPr>
          <w:rFonts w:cs="Times New Roman"/>
        </w:rPr>
        <w:t xml:space="preserve">as per </w:t>
      </w:r>
      <w:r w:rsidR="000908E2">
        <w:rPr>
          <w:rFonts w:cs="Times New Roman"/>
        </w:rPr>
        <w:t xml:space="preserve">figure 6, </w:t>
      </w:r>
      <w:r>
        <w:rPr>
          <w:rFonts w:cs="Times New Roman"/>
        </w:rPr>
        <w:t>shows 28-day bills comprising 47% of the portfolio as the 28-day is linked to the policy</w:t>
      </w:r>
      <w:r w:rsidR="002E0D4A">
        <w:rPr>
          <w:rFonts w:cs="Times New Roman"/>
        </w:rPr>
        <w:t xml:space="preserve"> rate or the Kina Facility Rate.</w:t>
      </w:r>
    </w:p>
    <w:p w14:paraId="6F4D6F51" w14:textId="77777777" w:rsidR="008B233B" w:rsidRPr="008B233B" w:rsidRDefault="00365FEB" w:rsidP="00790BC6">
      <w:pPr>
        <w:pStyle w:val="ListParagraph"/>
        <w:widowControl w:val="0"/>
        <w:ind w:left="0"/>
        <w:contextualSpacing w:val="0"/>
        <w:jc w:val="both"/>
        <w:rPr>
          <w:rFonts w:cs="Times New Roman"/>
          <w:b/>
          <w:u w:val="single"/>
        </w:rPr>
      </w:pPr>
      <w:r>
        <w:rPr>
          <w:rFonts w:cs="Times New Roman"/>
          <w:b/>
        </w:rPr>
        <w:t xml:space="preserve">                         </w:t>
      </w:r>
      <w:r w:rsidR="008B233B">
        <w:rPr>
          <w:rFonts w:cs="Times New Roman"/>
          <w:b/>
        </w:rPr>
        <w:t xml:space="preserve"> </w:t>
      </w:r>
      <w:r w:rsidR="008B233B" w:rsidRPr="008B233B">
        <w:rPr>
          <w:rFonts w:cs="Times New Roman"/>
          <w:b/>
          <w:u w:val="single"/>
        </w:rPr>
        <w:t>Figure</w:t>
      </w:r>
      <w:r w:rsidR="001A4928">
        <w:rPr>
          <w:rFonts w:cs="Times New Roman"/>
          <w:b/>
          <w:u w:val="single"/>
        </w:rPr>
        <w:t xml:space="preserve"> 6</w:t>
      </w:r>
      <w:r w:rsidR="008B233B" w:rsidRPr="008B233B">
        <w:rPr>
          <w:rFonts w:cs="Times New Roman"/>
          <w:b/>
          <w:u w:val="single"/>
        </w:rPr>
        <w:t>: C</w:t>
      </w:r>
      <w:r w:rsidR="003D235A">
        <w:rPr>
          <w:rFonts w:cs="Times New Roman"/>
          <w:b/>
          <w:u w:val="single"/>
        </w:rPr>
        <w:t xml:space="preserve">entral </w:t>
      </w:r>
      <w:r w:rsidR="008B233B" w:rsidRPr="008B233B">
        <w:rPr>
          <w:rFonts w:cs="Times New Roman"/>
          <w:b/>
          <w:u w:val="single"/>
        </w:rPr>
        <w:t>B</w:t>
      </w:r>
      <w:r w:rsidR="003D235A">
        <w:rPr>
          <w:rFonts w:cs="Times New Roman"/>
          <w:b/>
          <w:u w:val="single"/>
        </w:rPr>
        <w:t xml:space="preserve">ank </w:t>
      </w:r>
      <w:r w:rsidR="008B233B" w:rsidRPr="008B233B">
        <w:rPr>
          <w:rFonts w:cs="Times New Roman"/>
          <w:b/>
          <w:u w:val="single"/>
        </w:rPr>
        <w:t>B</w:t>
      </w:r>
      <w:r w:rsidR="003D235A">
        <w:rPr>
          <w:rFonts w:cs="Times New Roman"/>
          <w:b/>
          <w:u w:val="single"/>
        </w:rPr>
        <w:t>ills</w:t>
      </w:r>
      <w:r w:rsidR="008B233B" w:rsidRPr="008B233B">
        <w:rPr>
          <w:rFonts w:cs="Times New Roman"/>
          <w:b/>
          <w:u w:val="single"/>
        </w:rPr>
        <w:t xml:space="preserve"> Composition</w:t>
      </w:r>
    </w:p>
    <w:p w14:paraId="08B466AC" w14:textId="77777777" w:rsidR="00982584" w:rsidRPr="004B3A9E" w:rsidRDefault="00982584" w:rsidP="00982584">
      <w:pPr>
        <w:pStyle w:val="ListParagraph"/>
        <w:widowControl w:val="0"/>
        <w:ind w:left="1440"/>
        <w:contextualSpacing w:val="0"/>
        <w:jc w:val="both"/>
        <w:rPr>
          <w:rFonts w:cs="Times New Roman"/>
        </w:rPr>
      </w:pPr>
      <w:r>
        <w:rPr>
          <w:noProof/>
          <w:lang w:eastAsia="en-US"/>
        </w:rPr>
        <w:drawing>
          <wp:inline distT="0" distB="0" distL="0" distR="0" wp14:anchorId="0B00B098" wp14:editId="34835C3C">
            <wp:extent cx="3688080" cy="2319020"/>
            <wp:effectExtent l="50800" t="50800" r="71120" b="685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D38BDC" w14:textId="77777777" w:rsidR="00982584" w:rsidRDefault="00982584" w:rsidP="00982584">
      <w:pPr>
        <w:widowControl w:val="0"/>
        <w:rPr>
          <w:rFonts w:cs="Times New Roman"/>
          <w:i/>
          <w:noProof/>
          <w:sz w:val="20"/>
          <w:szCs w:val="20"/>
        </w:rPr>
      </w:pPr>
      <w:r>
        <w:rPr>
          <w:rFonts w:cs="Times New Roman"/>
          <w:i/>
          <w:noProof/>
          <w:sz w:val="20"/>
          <w:szCs w:val="20"/>
        </w:rPr>
        <w:t xml:space="preserve">                              </w:t>
      </w:r>
      <w:r w:rsidRPr="00982584">
        <w:rPr>
          <w:rFonts w:cs="Times New Roman"/>
          <w:i/>
          <w:noProof/>
          <w:sz w:val="20"/>
          <w:szCs w:val="20"/>
        </w:rPr>
        <w:t>Source: BPNG</w:t>
      </w:r>
    </w:p>
    <w:p w14:paraId="4DA93350" w14:textId="77777777" w:rsidR="006D6C98" w:rsidRPr="00982584" w:rsidRDefault="006D6C98" w:rsidP="00982584">
      <w:pPr>
        <w:widowControl w:val="0"/>
        <w:rPr>
          <w:rFonts w:cs="Times New Roman"/>
          <w:i/>
          <w:noProof/>
          <w:sz w:val="20"/>
          <w:szCs w:val="20"/>
        </w:rPr>
      </w:pPr>
    </w:p>
    <w:p w14:paraId="6F226D56" w14:textId="77777777" w:rsidR="006D6C98" w:rsidRDefault="006D6C98" w:rsidP="00F04788">
      <w:pPr>
        <w:pStyle w:val="ListParagraph"/>
        <w:widowControl w:val="0"/>
        <w:numPr>
          <w:ilvl w:val="0"/>
          <w:numId w:val="2"/>
        </w:numPr>
        <w:spacing w:after="240"/>
        <w:ind w:left="0" w:firstLine="0"/>
        <w:contextualSpacing w:val="0"/>
        <w:jc w:val="both"/>
        <w:rPr>
          <w:rFonts w:cs="Times New Roman"/>
        </w:rPr>
      </w:pPr>
      <w:r>
        <w:rPr>
          <w:rFonts w:cs="Times New Roman"/>
        </w:rPr>
        <w:t xml:space="preserve">The BPNG provides a CBB </w:t>
      </w:r>
      <w:r w:rsidRPr="00943A2E">
        <w:rPr>
          <w:rFonts w:cs="Times New Roman"/>
          <w:i/>
        </w:rPr>
        <w:t>Tap Facility</w:t>
      </w:r>
      <w:r w:rsidRPr="006B2AF8">
        <w:rPr>
          <w:rFonts w:cs="Times New Roman"/>
        </w:rPr>
        <w:t xml:space="preserve"> </w:t>
      </w:r>
      <w:r>
        <w:rPr>
          <w:rFonts w:cs="Times New Roman"/>
        </w:rPr>
        <w:t xml:space="preserve">for small retail investors. The CBB Tap Facility </w:t>
      </w:r>
      <w:r w:rsidR="008B233B">
        <w:rPr>
          <w:rFonts w:cs="Times New Roman"/>
        </w:rPr>
        <w:t xml:space="preserve">has terms </w:t>
      </w:r>
      <w:r w:rsidRPr="006B2AF8">
        <w:rPr>
          <w:rFonts w:cs="Times New Roman"/>
        </w:rPr>
        <w:t>of 28, 63, 91, and 182 days with a fixed interest rate based on a margin of 1 percent above the CBB auction weighted average rate. Interest is paid on maturity only.</w:t>
      </w:r>
      <w:r w:rsidRPr="0073438D">
        <w:rPr>
          <w:rFonts w:cs="Times New Roman"/>
        </w:rPr>
        <w:t xml:space="preserve"> </w:t>
      </w:r>
      <w:r>
        <w:rPr>
          <w:rFonts w:cs="Times New Roman"/>
        </w:rPr>
        <w:t xml:space="preserve">The minimum starting bid is </w:t>
      </w:r>
      <w:r w:rsidR="00341A40">
        <w:rPr>
          <w:rFonts w:cs="Times New Roman"/>
        </w:rPr>
        <w:t>PG</w:t>
      </w:r>
      <w:r>
        <w:rPr>
          <w:rFonts w:cs="Times New Roman"/>
        </w:rPr>
        <w:t>K10</w:t>
      </w:r>
      <w:proofErr w:type="gramStart"/>
      <w:r>
        <w:rPr>
          <w:rFonts w:cs="Times New Roman"/>
        </w:rPr>
        <w:t>,000</w:t>
      </w:r>
      <w:proofErr w:type="gramEnd"/>
      <w:r>
        <w:rPr>
          <w:rFonts w:cs="Times New Roman"/>
        </w:rPr>
        <w:t xml:space="preserve"> with increments of </w:t>
      </w:r>
      <w:r w:rsidR="00341A40">
        <w:rPr>
          <w:rFonts w:cs="Times New Roman"/>
        </w:rPr>
        <w:t>PG</w:t>
      </w:r>
      <w:r>
        <w:rPr>
          <w:rFonts w:cs="Times New Roman"/>
        </w:rPr>
        <w:t xml:space="preserve">K10,000 and </w:t>
      </w:r>
      <w:r w:rsidR="00BC1045">
        <w:rPr>
          <w:rFonts w:cs="Times New Roman"/>
        </w:rPr>
        <w:t xml:space="preserve">is </w:t>
      </w:r>
      <w:r>
        <w:rPr>
          <w:rFonts w:cs="Times New Roman"/>
        </w:rPr>
        <w:t>limited to a maximum of</w:t>
      </w:r>
      <w:r w:rsidR="00341A40">
        <w:rPr>
          <w:rFonts w:cs="Times New Roman"/>
        </w:rPr>
        <w:t xml:space="preserve"> PG</w:t>
      </w:r>
      <w:r>
        <w:rPr>
          <w:rFonts w:cs="Times New Roman"/>
        </w:rPr>
        <w:t>K100,000.</w:t>
      </w:r>
      <w:r w:rsidR="008B233B">
        <w:rPr>
          <w:rFonts w:cs="Times New Roman"/>
        </w:rPr>
        <w:t xml:space="preserve"> Terms and co</w:t>
      </w:r>
      <w:r w:rsidR="000908E2">
        <w:rPr>
          <w:rFonts w:cs="Times New Roman"/>
        </w:rPr>
        <w:t>nditions for CBB Tap Facility are</w:t>
      </w:r>
      <w:r w:rsidR="008B233B">
        <w:rPr>
          <w:rFonts w:cs="Times New Roman"/>
        </w:rPr>
        <w:t xml:space="preserve"> provided for the gene</w:t>
      </w:r>
      <w:r w:rsidR="00D22491">
        <w:rPr>
          <w:rFonts w:cs="Times New Roman"/>
        </w:rPr>
        <w:t xml:space="preserve">ral public on </w:t>
      </w:r>
      <w:r w:rsidR="00BC1045">
        <w:rPr>
          <w:rFonts w:cs="Times New Roman"/>
        </w:rPr>
        <w:t xml:space="preserve">the </w:t>
      </w:r>
      <w:r w:rsidR="00D22491">
        <w:rPr>
          <w:rFonts w:cs="Times New Roman"/>
        </w:rPr>
        <w:t>BPNG’s website.</w:t>
      </w:r>
    </w:p>
    <w:p w14:paraId="6CEFAFD8" w14:textId="4A0F2861" w:rsidR="005A77DD" w:rsidRPr="005035E0" w:rsidRDefault="00943A2E" w:rsidP="005A77DD">
      <w:pPr>
        <w:pStyle w:val="ListParagraph"/>
        <w:widowControl w:val="0"/>
        <w:numPr>
          <w:ilvl w:val="0"/>
          <w:numId w:val="2"/>
        </w:numPr>
        <w:spacing w:after="240"/>
        <w:ind w:left="0" w:firstLine="0"/>
        <w:contextualSpacing w:val="0"/>
        <w:jc w:val="both"/>
        <w:rPr>
          <w:rFonts w:cs="Times New Roman"/>
        </w:rPr>
      </w:pPr>
      <w:r>
        <w:rPr>
          <w:rFonts w:cs="Times New Roman"/>
        </w:rPr>
        <w:t>The BPNG</w:t>
      </w:r>
      <w:r w:rsidR="006D6C98" w:rsidRPr="005657DA">
        <w:rPr>
          <w:rFonts w:cs="Times New Roman"/>
        </w:rPr>
        <w:t xml:space="preserve"> will continue to operate the CBB T</w:t>
      </w:r>
      <w:r>
        <w:rPr>
          <w:rFonts w:cs="Times New Roman"/>
        </w:rPr>
        <w:t>ap Facility</w:t>
      </w:r>
      <w:r w:rsidR="00D22491">
        <w:rPr>
          <w:rFonts w:cs="Times New Roman"/>
        </w:rPr>
        <w:t xml:space="preserve"> </w:t>
      </w:r>
      <w:r w:rsidR="006D6C98" w:rsidRPr="005657DA">
        <w:rPr>
          <w:rFonts w:cs="Times New Roman"/>
        </w:rPr>
        <w:t>to allow small retail investors to participate in the securities market and help develop a savings culture in the country. Participation has been low</w:t>
      </w:r>
      <w:r w:rsidR="00BC1045">
        <w:rPr>
          <w:rFonts w:cs="Times New Roman"/>
        </w:rPr>
        <w:t>,</w:t>
      </w:r>
      <w:r w:rsidR="006D6C98" w:rsidRPr="005657DA">
        <w:rPr>
          <w:rFonts w:cs="Times New Roman"/>
        </w:rPr>
        <w:t xml:space="preserve"> mainly due to limited access to the facility from other centers of the country.</w:t>
      </w:r>
    </w:p>
    <w:p w14:paraId="462607B9" w14:textId="0F597414" w:rsidR="00AE4DD6" w:rsidRPr="0073438D" w:rsidRDefault="00C65B05" w:rsidP="00AE4DD6">
      <w:pPr>
        <w:widowControl w:val="0"/>
        <w:spacing w:after="240"/>
        <w:jc w:val="center"/>
        <w:rPr>
          <w:rFonts w:cs="Times New Roman"/>
          <w:b/>
          <w:noProof/>
        </w:rPr>
      </w:pPr>
      <w:r>
        <w:rPr>
          <w:rFonts w:cs="Times New Roman"/>
          <w:b/>
          <w:noProof/>
        </w:rPr>
        <w:t>G</w:t>
      </w:r>
      <w:r w:rsidR="005A67B4" w:rsidRPr="0073438D">
        <w:rPr>
          <w:rFonts w:cs="Times New Roman"/>
          <w:b/>
          <w:noProof/>
        </w:rPr>
        <w:t xml:space="preserve">. </w:t>
      </w:r>
      <w:r w:rsidR="00AE4DD6" w:rsidRPr="0073438D">
        <w:rPr>
          <w:rFonts w:cs="Times New Roman"/>
          <w:b/>
          <w:noProof/>
        </w:rPr>
        <w:t>Investor Base</w:t>
      </w:r>
    </w:p>
    <w:p w14:paraId="26025130" w14:textId="196464B8" w:rsidR="00CD750D" w:rsidRPr="00654F24" w:rsidRDefault="0030624D" w:rsidP="00CD750D">
      <w:pPr>
        <w:pStyle w:val="ListParagraph"/>
        <w:widowControl w:val="0"/>
        <w:numPr>
          <w:ilvl w:val="0"/>
          <w:numId w:val="2"/>
        </w:numPr>
        <w:spacing w:after="240"/>
        <w:ind w:left="0" w:firstLine="0"/>
        <w:contextualSpacing w:val="0"/>
        <w:jc w:val="both"/>
        <w:rPr>
          <w:rFonts w:cs="Times New Roman"/>
        </w:rPr>
      </w:pPr>
      <w:r w:rsidRPr="008B2C3D">
        <w:rPr>
          <w:rFonts w:cs="Times New Roman"/>
        </w:rPr>
        <w:t>The holdings of domestic government securities is highly concentrated in the financial sector with commercial banks and supera</w:t>
      </w:r>
      <w:r w:rsidR="004868E6" w:rsidRPr="008B2C3D">
        <w:rPr>
          <w:rFonts w:cs="Times New Roman"/>
        </w:rPr>
        <w:t>nnuation funds holding roughly 7</w:t>
      </w:r>
      <w:r w:rsidRPr="008B2C3D">
        <w:rPr>
          <w:rFonts w:cs="Times New Roman"/>
        </w:rPr>
        <w:t>0% of ou</w:t>
      </w:r>
      <w:r w:rsidR="00341A40" w:rsidRPr="008B2C3D">
        <w:rPr>
          <w:rFonts w:cs="Times New Roman"/>
        </w:rPr>
        <w:t>tstanding debt stock, Figure 7,</w:t>
      </w:r>
      <w:r w:rsidR="004E46EE" w:rsidRPr="008B2C3D">
        <w:rPr>
          <w:rFonts w:cs="Times New Roman"/>
        </w:rPr>
        <w:t xml:space="preserve"> Furthermore, beyond the 7</w:t>
      </w:r>
      <w:r w:rsidR="005A4D3A" w:rsidRPr="008B2C3D">
        <w:rPr>
          <w:rFonts w:cs="Times New Roman"/>
        </w:rPr>
        <w:t>0% holdings from deposit taking instit</w:t>
      </w:r>
      <w:r w:rsidR="004868E6" w:rsidRPr="008B2C3D">
        <w:rPr>
          <w:rFonts w:cs="Times New Roman"/>
        </w:rPr>
        <w:t>utions</w:t>
      </w:r>
      <w:r w:rsidR="00BC1045">
        <w:rPr>
          <w:rFonts w:cs="Times New Roman"/>
        </w:rPr>
        <w:t xml:space="preserve"> and superannuation funds</w:t>
      </w:r>
      <w:r w:rsidR="004868E6" w:rsidRPr="008B2C3D">
        <w:rPr>
          <w:rFonts w:cs="Times New Roman"/>
        </w:rPr>
        <w:t>, the B</w:t>
      </w:r>
      <w:r w:rsidR="00BC1045">
        <w:rPr>
          <w:rFonts w:cs="Times New Roman"/>
        </w:rPr>
        <w:t xml:space="preserve">PNG </w:t>
      </w:r>
      <w:r w:rsidR="004868E6" w:rsidRPr="008B2C3D">
        <w:rPr>
          <w:rFonts w:cs="Times New Roman"/>
        </w:rPr>
        <w:t>holds 22</w:t>
      </w:r>
      <w:r w:rsidR="005A4D3A" w:rsidRPr="008B2C3D">
        <w:rPr>
          <w:rFonts w:cs="Times New Roman"/>
        </w:rPr>
        <w:t>% of gover</w:t>
      </w:r>
      <w:r w:rsidR="000F48FD" w:rsidRPr="008B2C3D">
        <w:rPr>
          <w:rFonts w:cs="Times New Roman"/>
        </w:rPr>
        <w:t>nment debt</w:t>
      </w:r>
      <w:r w:rsidR="008B2C3D">
        <w:rPr>
          <w:rFonts w:cs="Times New Roman"/>
        </w:rPr>
        <w:t xml:space="preserve"> due to the recent </w:t>
      </w:r>
      <w:r w:rsidR="00EE1327" w:rsidRPr="008B2C3D">
        <w:rPr>
          <w:rFonts w:cs="Times New Roman"/>
        </w:rPr>
        <w:t xml:space="preserve">T-bill </w:t>
      </w:r>
      <w:r w:rsidR="008B2C3D">
        <w:rPr>
          <w:rFonts w:cs="Times New Roman"/>
        </w:rPr>
        <w:t>“</w:t>
      </w:r>
      <w:r w:rsidR="00EE1327" w:rsidRPr="008B2C3D">
        <w:rPr>
          <w:rFonts w:cs="Times New Roman"/>
        </w:rPr>
        <w:t>slack arrangement</w:t>
      </w:r>
      <w:r w:rsidR="008B2C3D">
        <w:rPr>
          <w:rFonts w:cs="Times New Roman"/>
        </w:rPr>
        <w:t>” with the Government</w:t>
      </w:r>
      <w:r w:rsidR="00EE1327" w:rsidRPr="008B2C3D">
        <w:rPr>
          <w:rFonts w:cs="Times New Roman"/>
        </w:rPr>
        <w:t xml:space="preserve"> </w:t>
      </w:r>
      <w:r w:rsidR="008B2C3D">
        <w:rPr>
          <w:rFonts w:cs="Times New Roman"/>
        </w:rPr>
        <w:t>where the BPNG is purchasing u</w:t>
      </w:r>
      <w:r w:rsidR="00161D47">
        <w:rPr>
          <w:rFonts w:cs="Times New Roman"/>
        </w:rPr>
        <w:t>nder subscribed T-bill auctions.</w:t>
      </w:r>
      <w:bookmarkStart w:id="8" w:name="_GoBack"/>
      <w:bookmarkEnd w:id="8"/>
    </w:p>
    <w:p w14:paraId="6BD95083" w14:textId="77777777" w:rsidR="00A75B58" w:rsidRDefault="00826888" w:rsidP="00790BC6">
      <w:pPr>
        <w:pStyle w:val="ListParagraph"/>
        <w:widowControl w:val="0"/>
        <w:contextualSpacing w:val="0"/>
        <w:jc w:val="both"/>
        <w:rPr>
          <w:rFonts w:cs="Times New Roman"/>
          <w:b/>
          <w:bCs/>
          <w:u w:val="single"/>
        </w:rPr>
      </w:pPr>
      <w:r>
        <w:rPr>
          <w:rFonts w:cs="Times New Roman"/>
          <w:bCs/>
        </w:rPr>
        <w:lastRenderedPageBreak/>
        <w:t xml:space="preserve">  </w:t>
      </w:r>
      <w:r w:rsidR="004868E6">
        <w:rPr>
          <w:rFonts w:cs="Times New Roman"/>
          <w:bCs/>
        </w:rPr>
        <w:t xml:space="preserve">           </w:t>
      </w:r>
      <w:r w:rsidR="001A4928">
        <w:rPr>
          <w:rFonts w:cs="Times New Roman"/>
          <w:b/>
          <w:bCs/>
          <w:u w:val="single"/>
        </w:rPr>
        <w:t>Figure 7:</w:t>
      </w:r>
      <w:r w:rsidR="00365FEB">
        <w:rPr>
          <w:rFonts w:cs="Times New Roman"/>
          <w:b/>
          <w:bCs/>
          <w:u w:val="single"/>
        </w:rPr>
        <w:t xml:space="preserve"> Holdings Of Government Securities</w:t>
      </w:r>
    </w:p>
    <w:p w14:paraId="2089F4A8" w14:textId="77777777" w:rsidR="008B3D04" w:rsidRPr="00790BC6" w:rsidRDefault="008B3D04" w:rsidP="00790BC6">
      <w:pPr>
        <w:pStyle w:val="ListParagraph"/>
        <w:widowControl w:val="0"/>
        <w:contextualSpacing w:val="0"/>
        <w:jc w:val="both"/>
        <w:rPr>
          <w:rFonts w:cs="Times New Roman"/>
          <w:b/>
          <w:bCs/>
          <w:u w:val="single"/>
        </w:rPr>
      </w:pPr>
    </w:p>
    <w:p w14:paraId="0AF2A50F" w14:textId="77777777" w:rsidR="008E31C7" w:rsidRDefault="008E31C7" w:rsidP="008E31C7">
      <w:pPr>
        <w:pStyle w:val="ListParagraph"/>
        <w:widowControl w:val="0"/>
        <w:ind w:left="1440"/>
        <w:contextualSpacing w:val="0"/>
        <w:jc w:val="both"/>
        <w:rPr>
          <w:rFonts w:cs="Times New Roman"/>
          <w:bCs/>
        </w:rPr>
      </w:pPr>
      <w:r>
        <w:rPr>
          <w:noProof/>
          <w:lang w:eastAsia="en-US"/>
        </w:rPr>
        <w:drawing>
          <wp:inline distT="0" distB="0" distL="0" distR="0" wp14:anchorId="2E76394C" wp14:editId="0880E7BD">
            <wp:extent cx="4343400" cy="2512060"/>
            <wp:effectExtent l="0" t="0" r="25400" b="279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B2E07B" w14:textId="77777777" w:rsidR="00EC1847" w:rsidRPr="008E31C7" w:rsidRDefault="00D26B05" w:rsidP="008E31C7">
      <w:pPr>
        <w:pStyle w:val="ListParagraph"/>
        <w:widowControl w:val="0"/>
        <w:contextualSpacing w:val="0"/>
        <w:jc w:val="both"/>
        <w:rPr>
          <w:rFonts w:cs="Times New Roman"/>
          <w:bCs/>
          <w:i/>
          <w:sz w:val="20"/>
          <w:szCs w:val="20"/>
        </w:rPr>
      </w:pPr>
      <w:r>
        <w:rPr>
          <w:rFonts w:cs="Times New Roman"/>
          <w:bCs/>
          <w:i/>
          <w:sz w:val="22"/>
          <w:szCs w:val="22"/>
        </w:rPr>
        <w:t xml:space="preserve"> </w:t>
      </w:r>
      <w:r w:rsidR="004868E6">
        <w:rPr>
          <w:rFonts w:cs="Times New Roman"/>
          <w:bCs/>
          <w:i/>
          <w:sz w:val="22"/>
          <w:szCs w:val="22"/>
        </w:rPr>
        <w:t xml:space="preserve">           </w:t>
      </w:r>
      <w:r>
        <w:rPr>
          <w:rFonts w:cs="Times New Roman"/>
          <w:bCs/>
          <w:i/>
          <w:sz w:val="22"/>
          <w:szCs w:val="22"/>
        </w:rPr>
        <w:t xml:space="preserve"> </w:t>
      </w:r>
      <w:r w:rsidRPr="00174A65">
        <w:rPr>
          <w:rFonts w:cs="Times New Roman"/>
          <w:bCs/>
          <w:i/>
          <w:sz w:val="20"/>
          <w:szCs w:val="20"/>
        </w:rPr>
        <w:t>Source: BPNG</w:t>
      </w:r>
    </w:p>
    <w:p w14:paraId="7E5A92B7" w14:textId="05503D72" w:rsidR="00EC1847" w:rsidRDefault="008E31C7" w:rsidP="008E31C7">
      <w:pPr>
        <w:ind w:left="720"/>
        <w:rPr>
          <w:rFonts w:cs="Times New Roman"/>
          <w:bCs/>
          <w:sz w:val="20"/>
          <w:szCs w:val="20"/>
        </w:rPr>
      </w:pPr>
      <w:r>
        <w:rPr>
          <w:rFonts w:cs="Times New Roman"/>
          <w:bCs/>
          <w:sz w:val="20"/>
          <w:szCs w:val="20"/>
        </w:rPr>
        <w:t xml:space="preserve">  </w:t>
      </w:r>
      <w:r w:rsidR="004868E6">
        <w:rPr>
          <w:rFonts w:cs="Times New Roman"/>
          <w:bCs/>
          <w:sz w:val="20"/>
          <w:szCs w:val="20"/>
        </w:rPr>
        <w:t xml:space="preserve">            </w:t>
      </w:r>
      <w:r w:rsidR="00EC1847" w:rsidRPr="00EC1847">
        <w:rPr>
          <w:rFonts w:cs="Times New Roman"/>
          <w:bCs/>
          <w:sz w:val="20"/>
          <w:szCs w:val="20"/>
        </w:rPr>
        <w:t xml:space="preserve"> </w:t>
      </w:r>
      <w:r w:rsidR="00CD750D">
        <w:rPr>
          <w:rFonts w:cs="Times New Roman"/>
          <w:bCs/>
          <w:sz w:val="20"/>
          <w:szCs w:val="20"/>
        </w:rPr>
        <w:t xml:space="preserve">Others: </w:t>
      </w:r>
      <w:r w:rsidR="004868E6">
        <w:rPr>
          <w:rFonts w:cs="Times New Roman"/>
          <w:bCs/>
          <w:sz w:val="20"/>
          <w:szCs w:val="20"/>
        </w:rPr>
        <w:t>Insurance</w:t>
      </w:r>
      <w:r>
        <w:rPr>
          <w:rFonts w:cs="Times New Roman"/>
          <w:bCs/>
          <w:sz w:val="20"/>
          <w:szCs w:val="20"/>
        </w:rPr>
        <w:t xml:space="preserve"> cos., mining cos.</w:t>
      </w:r>
      <w:r w:rsidR="00EC1847" w:rsidRPr="00EC1847">
        <w:rPr>
          <w:rFonts w:cs="Times New Roman"/>
          <w:bCs/>
          <w:sz w:val="20"/>
          <w:szCs w:val="20"/>
        </w:rPr>
        <w:t>, churches, commercial entiti</w:t>
      </w:r>
      <w:r w:rsidR="00CD750D">
        <w:rPr>
          <w:rFonts w:cs="Times New Roman"/>
          <w:bCs/>
          <w:sz w:val="20"/>
          <w:szCs w:val="20"/>
        </w:rPr>
        <w:t>es, &amp; business groups.</w:t>
      </w:r>
    </w:p>
    <w:p w14:paraId="73BB73FC" w14:textId="77777777" w:rsidR="00D35D00" w:rsidRDefault="00D35D00" w:rsidP="00EC1847">
      <w:pPr>
        <w:ind w:left="720"/>
        <w:rPr>
          <w:rFonts w:cs="Times New Roman"/>
          <w:bCs/>
          <w:sz w:val="20"/>
          <w:szCs w:val="20"/>
        </w:rPr>
      </w:pPr>
    </w:p>
    <w:p w14:paraId="1D3C6007" w14:textId="0D5DCE0F" w:rsidR="00161D47" w:rsidRPr="005035E0" w:rsidRDefault="00D35D00" w:rsidP="00161D47">
      <w:pPr>
        <w:pStyle w:val="ListParagraph"/>
        <w:widowControl w:val="0"/>
        <w:numPr>
          <w:ilvl w:val="0"/>
          <w:numId w:val="2"/>
        </w:numPr>
        <w:spacing w:after="240"/>
        <w:ind w:left="0" w:firstLine="0"/>
        <w:contextualSpacing w:val="0"/>
        <w:jc w:val="both"/>
        <w:rPr>
          <w:rFonts w:cs="Times New Roman"/>
        </w:rPr>
      </w:pPr>
      <w:r w:rsidRPr="00720653">
        <w:rPr>
          <w:rFonts w:cs="Times New Roman"/>
        </w:rPr>
        <w:t>Commercial banks are the dominant players in the government securities with Bank of South Pacifi</w:t>
      </w:r>
      <w:r w:rsidR="00643C50" w:rsidRPr="00720653">
        <w:rPr>
          <w:rFonts w:cs="Times New Roman"/>
        </w:rPr>
        <w:t xml:space="preserve">c </w:t>
      </w:r>
      <w:r w:rsidR="00BC1045">
        <w:rPr>
          <w:rFonts w:cs="Times New Roman"/>
        </w:rPr>
        <w:t xml:space="preserve"> (BSP) </w:t>
      </w:r>
      <w:r w:rsidR="00643C50" w:rsidRPr="00720653">
        <w:rPr>
          <w:rFonts w:cs="Times New Roman"/>
        </w:rPr>
        <w:t>holding a significant share, BSP held 21% of T-bills</w:t>
      </w:r>
      <w:r w:rsidR="000F48FD" w:rsidRPr="00720653">
        <w:rPr>
          <w:rFonts w:cs="Times New Roman"/>
        </w:rPr>
        <w:t xml:space="preserve">, </w:t>
      </w:r>
      <w:r w:rsidR="00643C50" w:rsidRPr="00720653">
        <w:rPr>
          <w:rFonts w:cs="Times New Roman"/>
        </w:rPr>
        <w:t xml:space="preserve">35% of </w:t>
      </w:r>
      <w:r w:rsidR="009633A5">
        <w:rPr>
          <w:rFonts w:cs="Times New Roman"/>
        </w:rPr>
        <w:t>G</w:t>
      </w:r>
      <w:r w:rsidR="00643C50" w:rsidRPr="00720653">
        <w:rPr>
          <w:rFonts w:cs="Times New Roman"/>
        </w:rPr>
        <w:t xml:space="preserve">IS, </w:t>
      </w:r>
      <w:r w:rsidR="000F48FD" w:rsidRPr="00720653">
        <w:rPr>
          <w:rFonts w:cs="Times New Roman"/>
        </w:rPr>
        <w:t xml:space="preserve">and 22% of CBBs </w:t>
      </w:r>
      <w:r w:rsidR="00643C50" w:rsidRPr="00720653">
        <w:rPr>
          <w:rFonts w:cs="Times New Roman"/>
        </w:rPr>
        <w:t>as of December 2014.</w:t>
      </w:r>
      <w:r w:rsidRPr="00720653">
        <w:rPr>
          <w:rFonts w:cs="Times New Roman"/>
        </w:rPr>
        <w:t xml:space="preserve"> The superannuation funds represent the second commercially </w:t>
      </w:r>
      <w:r w:rsidR="008B2C3D" w:rsidRPr="00720653">
        <w:rPr>
          <w:rFonts w:cs="Times New Roman"/>
        </w:rPr>
        <w:t>dominant</w:t>
      </w:r>
      <w:r w:rsidR="00643C50" w:rsidRPr="00720653">
        <w:rPr>
          <w:rFonts w:cs="Times New Roman"/>
        </w:rPr>
        <w:t xml:space="preserve"> entity with holdings of </w:t>
      </w:r>
      <w:r w:rsidR="008B2C3D">
        <w:rPr>
          <w:rFonts w:cs="Times New Roman"/>
        </w:rPr>
        <w:t>G</w:t>
      </w:r>
      <w:r w:rsidR="00643C50" w:rsidRPr="00720653">
        <w:rPr>
          <w:rFonts w:cs="Times New Roman"/>
        </w:rPr>
        <w:t xml:space="preserve">IS at 31% of total. The BPNG </w:t>
      </w:r>
      <w:r w:rsidR="009633A5">
        <w:rPr>
          <w:rFonts w:cs="Times New Roman"/>
        </w:rPr>
        <w:t>holdings of T-bills and GIS are 29% and 15% to total outstand</w:t>
      </w:r>
      <w:r w:rsidR="001717F8">
        <w:rPr>
          <w:rFonts w:cs="Times New Roman"/>
        </w:rPr>
        <w:t>ing, respectfully</w:t>
      </w:r>
      <w:r w:rsidR="008B2C3D">
        <w:rPr>
          <w:rFonts w:cs="Times New Roman"/>
        </w:rPr>
        <w:t xml:space="preserve">, </w:t>
      </w:r>
      <w:r w:rsidR="00BC1045">
        <w:rPr>
          <w:rFonts w:cs="Times New Roman"/>
        </w:rPr>
        <w:t xml:space="preserve">as per </w:t>
      </w:r>
      <w:r w:rsidR="008B2C3D">
        <w:rPr>
          <w:rFonts w:cs="Times New Roman"/>
        </w:rPr>
        <w:t>Figure 8</w:t>
      </w:r>
      <w:r w:rsidR="001717F8">
        <w:rPr>
          <w:rFonts w:cs="Times New Roman"/>
        </w:rPr>
        <w:t xml:space="preserve">. In terms of </w:t>
      </w:r>
      <w:r w:rsidR="009633A5">
        <w:rPr>
          <w:rFonts w:cs="Times New Roman"/>
        </w:rPr>
        <w:t>holdings of central bank bills</w:t>
      </w:r>
      <w:r w:rsidR="001717F8">
        <w:rPr>
          <w:rFonts w:cs="Times New Roman"/>
        </w:rPr>
        <w:t xml:space="preserve">, </w:t>
      </w:r>
      <w:r w:rsidR="00BC1045">
        <w:rPr>
          <w:rFonts w:cs="Times New Roman"/>
        </w:rPr>
        <w:t xml:space="preserve">as per </w:t>
      </w:r>
      <w:r w:rsidR="001717F8">
        <w:rPr>
          <w:rFonts w:cs="Times New Roman"/>
        </w:rPr>
        <w:t>Figure 9, ANZ owns a significant 54% of the total outstanding of CBBs, while holding 15% of Treasury bills due to its ALM and investment criteria</w:t>
      </w:r>
      <w:r w:rsidR="005035E0">
        <w:rPr>
          <w:rFonts w:cs="Times New Roman"/>
        </w:rPr>
        <w:t>.</w:t>
      </w:r>
    </w:p>
    <w:p w14:paraId="1050EB29" w14:textId="77777777" w:rsidR="00A75B58" w:rsidRDefault="00055FA1" w:rsidP="00055FA1">
      <w:pPr>
        <w:widowControl w:val="0"/>
        <w:jc w:val="both"/>
        <w:rPr>
          <w:b/>
          <w:u w:val="single"/>
        </w:rPr>
      </w:pPr>
      <w:r w:rsidRPr="00A75B58">
        <w:rPr>
          <w:b/>
          <w:u w:val="single"/>
        </w:rPr>
        <w:t>Figure</w:t>
      </w:r>
      <w:r w:rsidR="001A4928">
        <w:rPr>
          <w:b/>
          <w:u w:val="single"/>
        </w:rPr>
        <w:t xml:space="preserve"> 8</w:t>
      </w:r>
      <w:r w:rsidRPr="00A75B58">
        <w:rPr>
          <w:b/>
          <w:u w:val="single"/>
        </w:rPr>
        <w:t xml:space="preserve">: Holdings of </w:t>
      </w:r>
      <w:proofErr w:type="gramStart"/>
      <w:r w:rsidRPr="00A75B58">
        <w:rPr>
          <w:b/>
          <w:u w:val="single"/>
        </w:rPr>
        <w:t xml:space="preserve">T-bills &amp; </w:t>
      </w:r>
      <w:r w:rsidR="002E0D4A">
        <w:rPr>
          <w:b/>
          <w:u w:val="single"/>
        </w:rPr>
        <w:t>G</w:t>
      </w:r>
      <w:r w:rsidRPr="00A75B58">
        <w:rPr>
          <w:b/>
          <w:u w:val="single"/>
        </w:rPr>
        <w:t>IS</w:t>
      </w:r>
      <w:proofErr w:type="gramEnd"/>
      <w:r w:rsidR="00643C50" w:rsidRPr="00A75B58">
        <w:rPr>
          <w:b/>
          <w:u w:val="single"/>
        </w:rPr>
        <w:t xml:space="preserve"> (December 2014)</w:t>
      </w:r>
    </w:p>
    <w:p w14:paraId="0B5A478F" w14:textId="77777777" w:rsidR="00790BC6" w:rsidRPr="008B2C3D" w:rsidRDefault="00790BC6" w:rsidP="00055FA1">
      <w:pPr>
        <w:widowControl w:val="0"/>
        <w:jc w:val="both"/>
        <w:rPr>
          <w:b/>
          <w:u w:val="single"/>
        </w:rPr>
      </w:pPr>
    </w:p>
    <w:p w14:paraId="2177ED40" w14:textId="77777777" w:rsidR="000E1D69" w:rsidRDefault="00055FA1" w:rsidP="00055FA1">
      <w:pPr>
        <w:widowControl w:val="0"/>
        <w:jc w:val="both"/>
      </w:pPr>
      <w:r>
        <w:rPr>
          <w:noProof/>
          <w:lang w:eastAsia="en-US"/>
        </w:rPr>
        <w:drawing>
          <wp:inline distT="0" distB="0" distL="0" distR="0" wp14:anchorId="5446E9F1" wp14:editId="18DCFB02">
            <wp:extent cx="5486400" cy="2768600"/>
            <wp:effectExtent l="0" t="0" r="25400" b="254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2A893A" w14:textId="77777777" w:rsidR="008B3D04" w:rsidRDefault="00055FA1" w:rsidP="008B3D04">
      <w:pPr>
        <w:pStyle w:val="ListParagraph"/>
        <w:widowControl w:val="0"/>
        <w:ind w:left="0"/>
        <w:contextualSpacing w:val="0"/>
        <w:jc w:val="both"/>
        <w:rPr>
          <w:rFonts w:cs="Times New Roman"/>
          <w:bCs/>
          <w:i/>
          <w:sz w:val="20"/>
          <w:szCs w:val="20"/>
        </w:rPr>
      </w:pPr>
      <w:r w:rsidRPr="00174A65">
        <w:rPr>
          <w:rFonts w:cs="Times New Roman"/>
          <w:bCs/>
          <w:i/>
          <w:sz w:val="20"/>
          <w:szCs w:val="20"/>
        </w:rPr>
        <w:t>Source: BPNG</w:t>
      </w:r>
    </w:p>
    <w:p w14:paraId="4C5873F6" w14:textId="73DF456B" w:rsidR="00280311" w:rsidRPr="008B3D04" w:rsidRDefault="00365FEB" w:rsidP="008B3D04">
      <w:pPr>
        <w:pStyle w:val="ListParagraph"/>
        <w:widowControl w:val="0"/>
        <w:ind w:left="0"/>
        <w:contextualSpacing w:val="0"/>
        <w:jc w:val="both"/>
        <w:rPr>
          <w:rFonts w:cs="Times New Roman"/>
          <w:bCs/>
          <w:i/>
          <w:sz w:val="20"/>
          <w:szCs w:val="20"/>
        </w:rPr>
      </w:pPr>
      <w:r>
        <w:rPr>
          <w:b/>
          <w:u w:val="single"/>
        </w:rPr>
        <w:lastRenderedPageBreak/>
        <w:t>Figure</w:t>
      </w:r>
      <w:r w:rsidR="001A4928">
        <w:rPr>
          <w:b/>
          <w:u w:val="single"/>
        </w:rPr>
        <w:t xml:space="preserve"> 9</w:t>
      </w:r>
      <w:r>
        <w:rPr>
          <w:b/>
          <w:u w:val="single"/>
        </w:rPr>
        <w:t xml:space="preserve">: Holdings of </w:t>
      </w:r>
      <w:r w:rsidR="00165353">
        <w:rPr>
          <w:b/>
          <w:u w:val="single"/>
        </w:rPr>
        <w:t xml:space="preserve">Central Bank Bills </w:t>
      </w:r>
      <w:r w:rsidR="00165353" w:rsidRPr="00A75B58">
        <w:rPr>
          <w:b/>
          <w:u w:val="single"/>
        </w:rPr>
        <w:t>(December 2014)</w:t>
      </w:r>
    </w:p>
    <w:p w14:paraId="20D0D19F" w14:textId="77777777" w:rsidR="00161D47" w:rsidRPr="00DE49D8" w:rsidRDefault="00161D47" w:rsidP="00DE49D8">
      <w:pPr>
        <w:widowControl w:val="0"/>
        <w:jc w:val="both"/>
        <w:rPr>
          <w:b/>
          <w:u w:val="single"/>
        </w:rPr>
      </w:pPr>
    </w:p>
    <w:p w14:paraId="78656FBE" w14:textId="77777777" w:rsidR="00F9188A" w:rsidRDefault="00F9188A" w:rsidP="00A75B58">
      <w:pPr>
        <w:pStyle w:val="ListParagraph"/>
        <w:widowControl w:val="0"/>
        <w:ind w:left="0"/>
        <w:contextualSpacing w:val="0"/>
        <w:jc w:val="both"/>
        <w:rPr>
          <w:rFonts w:cs="Times New Roman"/>
          <w:bCs/>
          <w:i/>
          <w:sz w:val="20"/>
          <w:szCs w:val="20"/>
        </w:rPr>
      </w:pPr>
      <w:r>
        <w:rPr>
          <w:noProof/>
          <w:lang w:eastAsia="en-US"/>
        </w:rPr>
        <w:drawing>
          <wp:inline distT="0" distB="0" distL="0" distR="0" wp14:anchorId="1F4402DA" wp14:editId="0F2E35D2">
            <wp:extent cx="5486400" cy="2047240"/>
            <wp:effectExtent l="0" t="0" r="25400" b="355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7CC1E2" w14:textId="77777777" w:rsidR="002E0D4A" w:rsidRPr="00365FEB" w:rsidRDefault="002E0D4A" w:rsidP="002E0D4A">
      <w:pPr>
        <w:pStyle w:val="ListParagraph"/>
        <w:widowControl w:val="0"/>
        <w:ind w:left="0"/>
        <w:contextualSpacing w:val="0"/>
        <w:jc w:val="both"/>
        <w:rPr>
          <w:rFonts w:cs="Times New Roman"/>
          <w:bCs/>
          <w:i/>
          <w:sz w:val="20"/>
          <w:szCs w:val="20"/>
        </w:rPr>
      </w:pPr>
      <w:r w:rsidRPr="00174A65">
        <w:rPr>
          <w:rFonts w:cs="Times New Roman"/>
          <w:bCs/>
          <w:i/>
          <w:sz w:val="20"/>
          <w:szCs w:val="20"/>
        </w:rPr>
        <w:t>Source: BPNG</w:t>
      </w:r>
    </w:p>
    <w:p w14:paraId="5B26F0AA" w14:textId="77777777" w:rsidR="00F9188A" w:rsidRDefault="00F9188A" w:rsidP="00A75B58">
      <w:pPr>
        <w:pStyle w:val="ListParagraph"/>
        <w:widowControl w:val="0"/>
        <w:ind w:left="0"/>
        <w:contextualSpacing w:val="0"/>
        <w:jc w:val="both"/>
        <w:rPr>
          <w:rFonts w:cs="Times New Roman"/>
          <w:bCs/>
          <w:i/>
          <w:sz w:val="20"/>
          <w:szCs w:val="20"/>
        </w:rPr>
      </w:pPr>
    </w:p>
    <w:p w14:paraId="7FEB835E" w14:textId="77777777" w:rsidR="00252F15" w:rsidRDefault="00252F15" w:rsidP="001717F8">
      <w:pPr>
        <w:pStyle w:val="ListParagraph"/>
        <w:widowControl w:val="0"/>
        <w:numPr>
          <w:ilvl w:val="0"/>
          <w:numId w:val="2"/>
        </w:numPr>
        <w:spacing w:after="240"/>
        <w:ind w:left="0" w:firstLine="0"/>
        <w:contextualSpacing w:val="0"/>
        <w:jc w:val="both"/>
        <w:rPr>
          <w:rFonts w:cs="Times New Roman"/>
        </w:rPr>
      </w:pPr>
      <w:r>
        <w:rPr>
          <w:rFonts w:cs="Times New Roman"/>
        </w:rPr>
        <w:t>The Superannuation funds provide contractual savings schemes both compulsory and voluntary contributions for employees and employers in PNG. M</w:t>
      </w:r>
      <w:r w:rsidRPr="00252F15">
        <w:rPr>
          <w:rFonts w:cs="Times New Roman"/>
        </w:rPr>
        <w:t>embership are mainly workers from private sector companies, government owned corporations</w:t>
      </w:r>
      <w:r>
        <w:rPr>
          <w:rFonts w:cs="Times New Roman"/>
        </w:rPr>
        <w:t>,</w:t>
      </w:r>
      <w:r w:rsidRPr="00252F15">
        <w:rPr>
          <w:rFonts w:cs="Times New Roman"/>
        </w:rPr>
        <w:t xml:space="preserve"> and statutory authorities.</w:t>
      </w:r>
      <w:r>
        <w:rPr>
          <w:rFonts w:cs="Times New Roman"/>
        </w:rPr>
        <w:t xml:space="preserve"> Also, retirement savings accounts are offered by the super funds.</w:t>
      </w:r>
    </w:p>
    <w:p w14:paraId="091BB6A5" w14:textId="18D9C2B0" w:rsidR="001717F8" w:rsidRDefault="00280311" w:rsidP="001717F8">
      <w:pPr>
        <w:pStyle w:val="ListParagraph"/>
        <w:widowControl w:val="0"/>
        <w:numPr>
          <w:ilvl w:val="0"/>
          <w:numId w:val="2"/>
        </w:numPr>
        <w:spacing w:after="240"/>
        <w:ind w:left="0" w:firstLine="0"/>
        <w:contextualSpacing w:val="0"/>
        <w:jc w:val="both"/>
        <w:rPr>
          <w:rFonts w:cs="Times New Roman"/>
        </w:rPr>
      </w:pPr>
      <w:r w:rsidRPr="00720653">
        <w:rPr>
          <w:rFonts w:cs="Times New Roman"/>
        </w:rPr>
        <w:t xml:space="preserve">The </w:t>
      </w:r>
      <w:proofErr w:type="spellStart"/>
      <w:r w:rsidRPr="00720653">
        <w:rPr>
          <w:rFonts w:cs="Times New Roman"/>
        </w:rPr>
        <w:t>Nasfund</w:t>
      </w:r>
      <w:proofErr w:type="spellEnd"/>
      <w:r w:rsidRPr="00720653">
        <w:rPr>
          <w:rFonts w:cs="Times New Roman"/>
        </w:rPr>
        <w:t xml:space="preserve"> and </w:t>
      </w:r>
      <w:proofErr w:type="spellStart"/>
      <w:r w:rsidRPr="00720653">
        <w:rPr>
          <w:rFonts w:cs="Times New Roman"/>
        </w:rPr>
        <w:t>Namabwan</w:t>
      </w:r>
      <w:proofErr w:type="spellEnd"/>
      <w:r w:rsidRPr="00720653">
        <w:rPr>
          <w:rFonts w:cs="Times New Roman"/>
        </w:rPr>
        <w:t xml:space="preserve"> </w:t>
      </w:r>
      <w:r w:rsidR="00D97EA8" w:rsidRPr="00720653">
        <w:rPr>
          <w:rFonts w:cs="Times New Roman"/>
        </w:rPr>
        <w:t>Super Funds assets allocations</w:t>
      </w:r>
      <w:r w:rsidR="00FB02E9">
        <w:rPr>
          <w:rFonts w:cs="Times New Roman"/>
        </w:rPr>
        <w:t>, as of December 2014,</w:t>
      </w:r>
      <w:r w:rsidR="00D97EA8" w:rsidRPr="00720653">
        <w:rPr>
          <w:rFonts w:cs="Times New Roman"/>
        </w:rPr>
        <w:t xml:space="preserve"> are</w:t>
      </w:r>
      <w:r w:rsidRPr="00720653">
        <w:rPr>
          <w:rFonts w:cs="Times New Roman"/>
        </w:rPr>
        <w:t xml:space="preserve"> indicated in Table</w:t>
      </w:r>
      <w:r w:rsidR="001717F8">
        <w:rPr>
          <w:rFonts w:cs="Times New Roman"/>
        </w:rPr>
        <w:t>s 3 &amp; 4</w:t>
      </w:r>
      <w:r w:rsidR="00D97EA8" w:rsidRPr="00720653">
        <w:rPr>
          <w:rFonts w:cs="Times New Roman"/>
        </w:rPr>
        <w:t xml:space="preserve">. </w:t>
      </w:r>
      <w:proofErr w:type="spellStart"/>
      <w:r w:rsidR="00D97EA8" w:rsidRPr="00720653">
        <w:rPr>
          <w:rFonts w:cs="Times New Roman"/>
        </w:rPr>
        <w:t>Nasfund</w:t>
      </w:r>
      <w:proofErr w:type="spellEnd"/>
      <w:r w:rsidR="00D97EA8" w:rsidRPr="00720653">
        <w:rPr>
          <w:rFonts w:cs="Times New Roman"/>
        </w:rPr>
        <w:t xml:space="preserve"> investment portfolio totaled </w:t>
      </w:r>
      <w:r w:rsidR="001717F8">
        <w:rPr>
          <w:rFonts w:cs="Times New Roman"/>
        </w:rPr>
        <w:t>PG</w:t>
      </w:r>
      <w:r w:rsidR="00D97EA8" w:rsidRPr="00720653">
        <w:rPr>
          <w:rFonts w:cs="Times New Roman"/>
        </w:rPr>
        <w:t>K</w:t>
      </w:r>
      <w:r w:rsidR="005035E0">
        <w:rPr>
          <w:rFonts w:cs="Times New Roman"/>
        </w:rPr>
        <w:t xml:space="preserve"> </w:t>
      </w:r>
      <w:r w:rsidR="00D97EA8" w:rsidRPr="00720653">
        <w:rPr>
          <w:rFonts w:cs="Times New Roman"/>
        </w:rPr>
        <w:t>3,760.5</w:t>
      </w:r>
      <w:r w:rsidR="008B2C3D">
        <w:rPr>
          <w:rFonts w:cs="Times New Roman"/>
        </w:rPr>
        <w:t>mm</w:t>
      </w:r>
      <w:r w:rsidR="00D97EA8" w:rsidRPr="00720653">
        <w:rPr>
          <w:rFonts w:cs="Times New Roman"/>
        </w:rPr>
        <w:t xml:space="preserve"> as of December 31, 2014 up 9% from 2013 and </w:t>
      </w:r>
      <w:proofErr w:type="spellStart"/>
      <w:r w:rsidR="00D97EA8" w:rsidRPr="00720653">
        <w:rPr>
          <w:rFonts w:cs="Times New Roman"/>
        </w:rPr>
        <w:t>Nam</w:t>
      </w:r>
      <w:r w:rsidR="001717F8">
        <w:rPr>
          <w:rFonts w:cs="Times New Roman"/>
        </w:rPr>
        <w:t>a</w:t>
      </w:r>
      <w:r w:rsidR="00D97EA8" w:rsidRPr="00720653">
        <w:rPr>
          <w:rFonts w:cs="Times New Roman"/>
        </w:rPr>
        <w:t>bwan</w:t>
      </w:r>
      <w:proofErr w:type="spellEnd"/>
      <w:r w:rsidR="00D97EA8" w:rsidRPr="00720653">
        <w:rPr>
          <w:rFonts w:cs="Times New Roman"/>
        </w:rPr>
        <w:t xml:space="preserve"> investment portfolio totaled </w:t>
      </w:r>
      <w:r w:rsidR="001717F8">
        <w:rPr>
          <w:rFonts w:cs="Times New Roman"/>
        </w:rPr>
        <w:t>PG</w:t>
      </w:r>
      <w:r w:rsidR="00D97EA8" w:rsidRPr="00720653">
        <w:rPr>
          <w:rFonts w:cs="Times New Roman"/>
        </w:rPr>
        <w:t>K</w:t>
      </w:r>
      <w:r w:rsidR="005035E0">
        <w:rPr>
          <w:rFonts w:cs="Times New Roman"/>
        </w:rPr>
        <w:t xml:space="preserve"> </w:t>
      </w:r>
      <w:r w:rsidR="00D97EA8" w:rsidRPr="00720653">
        <w:rPr>
          <w:rFonts w:cs="Times New Roman"/>
        </w:rPr>
        <w:t>4,207.9</w:t>
      </w:r>
      <w:r w:rsidR="008B2C3D">
        <w:rPr>
          <w:rFonts w:cs="Times New Roman"/>
        </w:rPr>
        <w:t>mm</w:t>
      </w:r>
      <w:r w:rsidR="00D97EA8" w:rsidRPr="00720653">
        <w:rPr>
          <w:rFonts w:cs="Times New Roman"/>
        </w:rPr>
        <w:t xml:space="preserve"> as of December 31, 2014 up 10.7% from 2013.</w:t>
      </w:r>
    </w:p>
    <w:p w14:paraId="073A9769" w14:textId="35F1886A" w:rsidR="00FB02E9" w:rsidRPr="00516C48" w:rsidRDefault="00FB02E9" w:rsidP="001717F8">
      <w:pPr>
        <w:pStyle w:val="ListParagraph"/>
        <w:widowControl w:val="0"/>
        <w:numPr>
          <w:ilvl w:val="0"/>
          <w:numId w:val="2"/>
        </w:numPr>
        <w:spacing w:after="240"/>
        <w:ind w:left="0" w:firstLine="0"/>
        <w:contextualSpacing w:val="0"/>
        <w:jc w:val="both"/>
        <w:rPr>
          <w:rFonts w:cs="Times New Roman"/>
        </w:rPr>
      </w:pPr>
      <w:proofErr w:type="spellStart"/>
      <w:r>
        <w:rPr>
          <w:rFonts w:cs="Times New Roman"/>
        </w:rPr>
        <w:t>Nambawan</w:t>
      </w:r>
      <w:proofErr w:type="spellEnd"/>
      <w:r>
        <w:rPr>
          <w:rFonts w:cs="Times New Roman"/>
        </w:rPr>
        <w:t xml:space="preserve"> fund targets 3</w:t>
      </w:r>
      <w:r w:rsidR="008B2C3D">
        <w:rPr>
          <w:rFonts w:cs="Times New Roman"/>
        </w:rPr>
        <w:t xml:space="preserve">6% holdings of fixed income with </w:t>
      </w:r>
      <w:r>
        <w:rPr>
          <w:rFonts w:cs="Times New Roman"/>
        </w:rPr>
        <w:t>a current ratio of 33%</w:t>
      </w:r>
      <w:r>
        <w:t xml:space="preserve"> </w:t>
      </w:r>
      <w:r>
        <w:rPr>
          <w:rFonts w:cs="Times New Roman"/>
        </w:rPr>
        <w:t xml:space="preserve">and </w:t>
      </w:r>
      <w:proofErr w:type="spellStart"/>
      <w:r>
        <w:rPr>
          <w:rFonts w:cs="Times New Roman"/>
        </w:rPr>
        <w:t>Nasfund</w:t>
      </w:r>
      <w:proofErr w:type="spellEnd"/>
      <w:r>
        <w:rPr>
          <w:rFonts w:cs="Times New Roman"/>
        </w:rPr>
        <w:t xml:space="preserve"> holdings ratio of fixed income is 24% and at the lower end of its investment range. Given superfunds hold very little short-term debt it would appear that both superfunds have </w:t>
      </w:r>
      <w:r w:rsidR="00BC1045">
        <w:rPr>
          <w:rFonts w:cs="Times New Roman"/>
        </w:rPr>
        <w:t xml:space="preserve">the </w:t>
      </w:r>
      <w:r>
        <w:rPr>
          <w:rFonts w:cs="Times New Roman"/>
        </w:rPr>
        <w:t xml:space="preserve">ability </w:t>
      </w:r>
      <w:r w:rsidR="00BC1045">
        <w:rPr>
          <w:rFonts w:cs="Times New Roman"/>
        </w:rPr>
        <w:t xml:space="preserve">and desire </w:t>
      </w:r>
      <w:r>
        <w:rPr>
          <w:rFonts w:cs="Times New Roman"/>
        </w:rPr>
        <w:t>to acquire more holdings of government inscribed stock, assuming the current</w:t>
      </w:r>
      <w:r>
        <w:t xml:space="preserve"> </w:t>
      </w:r>
      <w:r>
        <w:rPr>
          <w:rFonts w:cs="Times New Roman"/>
        </w:rPr>
        <w:t>holdings have n</w:t>
      </w:r>
      <w:r w:rsidR="008B2C3D">
        <w:rPr>
          <w:rFonts w:cs="Times New Roman"/>
        </w:rPr>
        <w:t>ot changed. The reason for the</w:t>
      </w:r>
      <w:r>
        <w:rPr>
          <w:rFonts w:cs="Times New Roman"/>
        </w:rPr>
        <w:t xml:space="preserve"> current ratios is possibly </w:t>
      </w:r>
      <w:r w:rsidR="00BC1045">
        <w:rPr>
          <w:rFonts w:cs="Times New Roman"/>
        </w:rPr>
        <w:t xml:space="preserve">that </w:t>
      </w:r>
      <w:r>
        <w:rPr>
          <w:rFonts w:cs="Times New Roman"/>
        </w:rPr>
        <w:t xml:space="preserve">the </w:t>
      </w:r>
      <w:r w:rsidR="008B2C3D">
        <w:rPr>
          <w:rFonts w:cs="Times New Roman"/>
        </w:rPr>
        <w:t>superfunds require</w:t>
      </w:r>
      <w:r>
        <w:rPr>
          <w:rFonts w:cs="Times New Roman"/>
        </w:rPr>
        <w:t xml:space="preserve"> </w:t>
      </w:r>
      <w:r w:rsidR="008B2C3D">
        <w:rPr>
          <w:rFonts w:cs="Times New Roman"/>
        </w:rPr>
        <w:t xml:space="preserve">more </w:t>
      </w:r>
      <w:r>
        <w:rPr>
          <w:rFonts w:cs="Times New Roman"/>
        </w:rPr>
        <w:t>longer d</w:t>
      </w:r>
      <w:r w:rsidR="008B2C3D">
        <w:rPr>
          <w:rFonts w:cs="Times New Roman"/>
        </w:rPr>
        <w:t>ated GIS</w:t>
      </w:r>
      <w:r w:rsidR="00F10E22">
        <w:rPr>
          <w:rFonts w:cs="Times New Roman"/>
        </w:rPr>
        <w:t xml:space="preserve"> e.g. 10-years plus, and at present the Treasury and FMD is issuing 3,5,7, and 8-year GIS which between 5-year to 8-year GIS does not offer any significant duration pick up.</w:t>
      </w:r>
    </w:p>
    <w:p w14:paraId="6DCF44D9" w14:textId="77777777" w:rsidR="001A7D8D" w:rsidRPr="00A75B58" w:rsidRDefault="00A75B58" w:rsidP="001A7D8D">
      <w:pPr>
        <w:pStyle w:val="ListParagraph"/>
        <w:widowControl w:val="0"/>
        <w:ind w:left="0"/>
        <w:contextualSpacing w:val="0"/>
        <w:jc w:val="both"/>
        <w:rPr>
          <w:b/>
          <w:u w:val="single"/>
        </w:rPr>
      </w:pPr>
      <w:r>
        <w:rPr>
          <w:b/>
        </w:rPr>
        <w:t xml:space="preserve">                     </w:t>
      </w:r>
      <w:r w:rsidR="001A7D8D" w:rsidRPr="00A75B58">
        <w:rPr>
          <w:b/>
          <w:u w:val="single"/>
        </w:rPr>
        <w:t>Table</w:t>
      </w:r>
      <w:r w:rsidR="001A4928">
        <w:rPr>
          <w:b/>
          <w:u w:val="single"/>
        </w:rPr>
        <w:t xml:space="preserve"> 3</w:t>
      </w:r>
      <w:r w:rsidR="001A7D8D" w:rsidRPr="00A75B58">
        <w:rPr>
          <w:b/>
          <w:u w:val="single"/>
        </w:rPr>
        <w:t xml:space="preserve">: </w:t>
      </w:r>
      <w:proofErr w:type="spellStart"/>
      <w:r w:rsidR="001A7D8D" w:rsidRPr="00A75B58">
        <w:rPr>
          <w:b/>
          <w:u w:val="single"/>
        </w:rPr>
        <w:t>Nasfund</w:t>
      </w:r>
      <w:proofErr w:type="spellEnd"/>
      <w:r w:rsidR="001A7D8D" w:rsidRPr="00A75B58">
        <w:rPr>
          <w:b/>
          <w:u w:val="single"/>
        </w:rPr>
        <w:t xml:space="preserve"> Investment Guidelines</w:t>
      </w:r>
      <w:r w:rsidR="00FB02E9">
        <w:rPr>
          <w:b/>
          <w:u w:val="single"/>
        </w:rPr>
        <w:t xml:space="preserve"> (Dec 2014)</w:t>
      </w:r>
    </w:p>
    <w:p w14:paraId="43913164" w14:textId="073A2D31" w:rsidR="00A75B58" w:rsidRPr="00A75B58" w:rsidRDefault="00056D87" w:rsidP="00A75B58">
      <w:pPr>
        <w:pStyle w:val="ListParagraph"/>
        <w:widowControl w:val="0"/>
        <w:ind w:left="0"/>
        <w:contextualSpacing w:val="0"/>
        <w:jc w:val="both"/>
        <w:rPr>
          <w:rFonts w:cs="Times New Roman"/>
          <w:b/>
          <w:bCs/>
          <w:i/>
          <w:sz w:val="20"/>
          <w:szCs w:val="20"/>
        </w:rPr>
      </w:pPr>
      <w:r>
        <w:rPr>
          <w:rFonts w:cs="Times New Roman"/>
          <w:b/>
          <w:bCs/>
          <w:i/>
          <w:sz w:val="20"/>
          <w:szCs w:val="20"/>
        </w:rPr>
        <w:t xml:space="preserve">       </w:t>
      </w:r>
    </w:p>
    <w:tbl>
      <w:tblPr>
        <w:tblW w:w="6378" w:type="dxa"/>
        <w:jc w:val="center"/>
        <w:tblInd w:w="93" w:type="dxa"/>
        <w:tblLook w:val="04A0" w:firstRow="1" w:lastRow="0" w:firstColumn="1" w:lastColumn="0" w:noHBand="0" w:noVBand="1"/>
      </w:tblPr>
      <w:tblGrid>
        <w:gridCol w:w="2374"/>
        <w:gridCol w:w="1120"/>
        <w:gridCol w:w="840"/>
        <w:gridCol w:w="840"/>
        <w:gridCol w:w="1204"/>
      </w:tblGrid>
      <w:tr w:rsidR="005C3A15" w:rsidRPr="005C3A15" w14:paraId="4F279D47" w14:textId="77777777" w:rsidTr="00056D87">
        <w:trPr>
          <w:trHeight w:val="300"/>
          <w:jc w:val="center"/>
        </w:trPr>
        <w:tc>
          <w:tcPr>
            <w:tcW w:w="2374" w:type="dxa"/>
            <w:tcBorders>
              <w:top w:val="single" w:sz="8" w:space="0" w:color="auto"/>
              <w:left w:val="single" w:sz="8" w:space="0" w:color="auto"/>
              <w:bottom w:val="single" w:sz="4" w:space="0" w:color="auto"/>
              <w:right w:val="nil"/>
            </w:tcBorders>
            <w:shd w:val="clear" w:color="auto" w:fill="auto"/>
            <w:noWrap/>
            <w:vAlign w:val="bottom"/>
            <w:hideMark/>
          </w:tcPr>
          <w:p w14:paraId="3420AD35" w14:textId="77777777" w:rsidR="005C3A15" w:rsidRPr="00A75B58" w:rsidRDefault="005C3A15" w:rsidP="005C3A15">
            <w:pPr>
              <w:rPr>
                <w:rFonts w:eastAsia="Times New Roman" w:cs="Times New Roman"/>
                <w:b/>
                <w:color w:val="000000"/>
                <w:sz w:val="20"/>
                <w:szCs w:val="20"/>
                <w:lang w:eastAsia="en-US"/>
              </w:rPr>
            </w:pPr>
            <w:r w:rsidRPr="00A75B58">
              <w:rPr>
                <w:rFonts w:eastAsia="Times New Roman" w:cs="Times New Roman"/>
                <w:b/>
                <w:color w:val="000000"/>
                <w:sz w:val="20"/>
                <w:szCs w:val="20"/>
                <w:lang w:eastAsia="en-US"/>
              </w:rPr>
              <w:t> </w:t>
            </w:r>
          </w:p>
        </w:tc>
        <w:tc>
          <w:tcPr>
            <w:tcW w:w="1120" w:type="dxa"/>
            <w:tcBorders>
              <w:top w:val="single" w:sz="8" w:space="0" w:color="auto"/>
              <w:left w:val="nil"/>
              <w:bottom w:val="single" w:sz="4" w:space="0" w:color="auto"/>
              <w:right w:val="nil"/>
            </w:tcBorders>
            <w:shd w:val="clear" w:color="auto" w:fill="auto"/>
            <w:noWrap/>
            <w:vAlign w:val="bottom"/>
            <w:hideMark/>
          </w:tcPr>
          <w:p w14:paraId="64A1A8F6" w14:textId="77777777" w:rsidR="005C3A15" w:rsidRPr="00A75B58" w:rsidRDefault="005C3A15" w:rsidP="005C3A15">
            <w:pPr>
              <w:rPr>
                <w:rFonts w:eastAsia="Times New Roman" w:cs="Times New Roman"/>
                <w:b/>
                <w:color w:val="000000"/>
                <w:sz w:val="20"/>
                <w:szCs w:val="20"/>
                <w:lang w:eastAsia="en-US"/>
              </w:rPr>
            </w:pPr>
            <w:r w:rsidRPr="00A75B58">
              <w:rPr>
                <w:rFonts w:eastAsia="Times New Roman" w:cs="Times New Roman"/>
                <w:b/>
                <w:color w:val="000000"/>
                <w:sz w:val="20"/>
                <w:szCs w:val="20"/>
                <w:lang w:eastAsia="en-US"/>
              </w:rPr>
              <w:t> </w:t>
            </w:r>
          </w:p>
        </w:tc>
        <w:tc>
          <w:tcPr>
            <w:tcW w:w="840" w:type="dxa"/>
            <w:tcBorders>
              <w:top w:val="single" w:sz="8" w:space="0" w:color="auto"/>
              <w:left w:val="nil"/>
              <w:bottom w:val="single" w:sz="4" w:space="0" w:color="auto"/>
              <w:right w:val="nil"/>
            </w:tcBorders>
            <w:shd w:val="clear" w:color="auto" w:fill="auto"/>
            <w:noWrap/>
            <w:vAlign w:val="bottom"/>
            <w:hideMark/>
          </w:tcPr>
          <w:p w14:paraId="28DBD5FC" w14:textId="77777777" w:rsidR="005C3A15" w:rsidRPr="00A75B58" w:rsidRDefault="005C3A15" w:rsidP="005C3A15">
            <w:pPr>
              <w:jc w:val="center"/>
              <w:rPr>
                <w:rFonts w:eastAsia="Times New Roman" w:cs="Times New Roman"/>
                <w:b/>
                <w:color w:val="000000"/>
                <w:sz w:val="20"/>
                <w:szCs w:val="20"/>
                <w:lang w:eastAsia="en-US"/>
              </w:rPr>
            </w:pPr>
            <w:r w:rsidRPr="00A75B58">
              <w:rPr>
                <w:rFonts w:eastAsia="Times New Roman" w:cs="Times New Roman"/>
                <w:b/>
                <w:color w:val="000000"/>
                <w:sz w:val="20"/>
                <w:szCs w:val="20"/>
                <w:lang w:eastAsia="en-US"/>
              </w:rPr>
              <w:t>Min</w:t>
            </w:r>
          </w:p>
        </w:tc>
        <w:tc>
          <w:tcPr>
            <w:tcW w:w="840" w:type="dxa"/>
            <w:tcBorders>
              <w:top w:val="single" w:sz="8" w:space="0" w:color="auto"/>
              <w:left w:val="nil"/>
              <w:bottom w:val="single" w:sz="4" w:space="0" w:color="auto"/>
              <w:right w:val="nil"/>
            </w:tcBorders>
            <w:shd w:val="clear" w:color="auto" w:fill="auto"/>
            <w:noWrap/>
            <w:vAlign w:val="bottom"/>
            <w:hideMark/>
          </w:tcPr>
          <w:p w14:paraId="14ACFE9D" w14:textId="77777777" w:rsidR="005C3A15" w:rsidRPr="00A75B58" w:rsidRDefault="005C3A15" w:rsidP="005C3A15">
            <w:pPr>
              <w:jc w:val="center"/>
              <w:rPr>
                <w:rFonts w:eastAsia="Times New Roman" w:cs="Times New Roman"/>
                <w:b/>
                <w:color w:val="000000"/>
                <w:sz w:val="20"/>
                <w:szCs w:val="20"/>
                <w:lang w:eastAsia="en-US"/>
              </w:rPr>
            </w:pPr>
            <w:r w:rsidRPr="00A75B58">
              <w:rPr>
                <w:rFonts w:eastAsia="Times New Roman" w:cs="Times New Roman"/>
                <w:b/>
                <w:color w:val="000000"/>
                <w:sz w:val="20"/>
                <w:szCs w:val="20"/>
                <w:lang w:eastAsia="en-US"/>
              </w:rPr>
              <w:t>Max</w:t>
            </w:r>
          </w:p>
        </w:tc>
        <w:tc>
          <w:tcPr>
            <w:tcW w:w="1204" w:type="dxa"/>
            <w:tcBorders>
              <w:top w:val="single" w:sz="8" w:space="0" w:color="auto"/>
              <w:left w:val="nil"/>
              <w:bottom w:val="single" w:sz="4" w:space="0" w:color="auto"/>
              <w:right w:val="single" w:sz="8" w:space="0" w:color="auto"/>
            </w:tcBorders>
            <w:shd w:val="clear" w:color="auto" w:fill="auto"/>
            <w:noWrap/>
            <w:vAlign w:val="bottom"/>
            <w:hideMark/>
          </w:tcPr>
          <w:p w14:paraId="4BB08D40" w14:textId="77777777" w:rsidR="005C3A15" w:rsidRPr="00A75B58" w:rsidRDefault="005C3A15" w:rsidP="005C3A15">
            <w:pPr>
              <w:jc w:val="center"/>
              <w:rPr>
                <w:rFonts w:eastAsia="Times New Roman" w:cs="Times New Roman"/>
                <w:b/>
                <w:color w:val="000000"/>
                <w:sz w:val="20"/>
                <w:szCs w:val="20"/>
                <w:lang w:eastAsia="en-US"/>
              </w:rPr>
            </w:pPr>
            <w:r w:rsidRPr="00A75B58">
              <w:rPr>
                <w:rFonts w:eastAsia="Times New Roman" w:cs="Times New Roman"/>
                <w:b/>
                <w:color w:val="000000"/>
                <w:sz w:val="20"/>
                <w:szCs w:val="20"/>
                <w:lang w:eastAsia="en-US"/>
              </w:rPr>
              <w:t>Current</w:t>
            </w:r>
          </w:p>
        </w:tc>
      </w:tr>
      <w:tr w:rsidR="005C3A15" w:rsidRPr="005C3A15" w14:paraId="0A4543D8" w14:textId="77777777" w:rsidTr="00056D87">
        <w:trPr>
          <w:trHeight w:val="300"/>
          <w:jc w:val="center"/>
        </w:trPr>
        <w:tc>
          <w:tcPr>
            <w:tcW w:w="2374" w:type="dxa"/>
            <w:tcBorders>
              <w:top w:val="nil"/>
              <w:left w:val="single" w:sz="8" w:space="0" w:color="auto"/>
              <w:bottom w:val="nil"/>
              <w:right w:val="nil"/>
            </w:tcBorders>
            <w:shd w:val="clear" w:color="000000" w:fill="FFFFFF"/>
            <w:noWrap/>
            <w:vAlign w:val="center"/>
            <w:hideMark/>
          </w:tcPr>
          <w:p w14:paraId="3DC97C24" w14:textId="77777777" w:rsidR="005C3A15" w:rsidRPr="00A75B58" w:rsidRDefault="005C3A15" w:rsidP="005C3A15">
            <w:pPr>
              <w:rPr>
                <w:rFonts w:eastAsia="Times New Roman" w:cs="Times New Roman"/>
                <w:b/>
                <w:color w:val="000000"/>
                <w:sz w:val="20"/>
                <w:szCs w:val="20"/>
                <w:lang w:eastAsia="en-US"/>
              </w:rPr>
            </w:pPr>
            <w:r w:rsidRPr="00A75B58">
              <w:rPr>
                <w:rFonts w:eastAsia="Times New Roman" w:cs="Times New Roman"/>
                <w:b/>
                <w:color w:val="000000"/>
                <w:sz w:val="20"/>
                <w:szCs w:val="20"/>
                <w:lang w:eastAsia="en-US"/>
              </w:rPr>
              <w:t>Cash &amp; Receivables</w:t>
            </w:r>
          </w:p>
        </w:tc>
        <w:tc>
          <w:tcPr>
            <w:tcW w:w="1120" w:type="dxa"/>
            <w:tcBorders>
              <w:top w:val="nil"/>
              <w:left w:val="nil"/>
              <w:bottom w:val="nil"/>
              <w:right w:val="nil"/>
            </w:tcBorders>
            <w:shd w:val="clear" w:color="auto" w:fill="auto"/>
            <w:noWrap/>
            <w:vAlign w:val="center"/>
            <w:hideMark/>
          </w:tcPr>
          <w:p w14:paraId="75AC58A0" w14:textId="77777777" w:rsidR="005C3A15" w:rsidRPr="00A75B58" w:rsidRDefault="005C3A15" w:rsidP="005C3A15">
            <w:pPr>
              <w:rPr>
                <w:rFonts w:eastAsia="Times New Roman" w:cs="Times New Roman"/>
                <w:b/>
                <w:color w:val="000000"/>
                <w:sz w:val="20"/>
                <w:szCs w:val="20"/>
                <w:lang w:eastAsia="en-US"/>
              </w:rPr>
            </w:pPr>
          </w:p>
        </w:tc>
        <w:tc>
          <w:tcPr>
            <w:tcW w:w="840" w:type="dxa"/>
            <w:tcBorders>
              <w:top w:val="nil"/>
              <w:left w:val="nil"/>
              <w:bottom w:val="nil"/>
              <w:right w:val="nil"/>
            </w:tcBorders>
            <w:shd w:val="clear" w:color="000000" w:fill="FFFFFF"/>
            <w:noWrap/>
            <w:vAlign w:val="center"/>
            <w:hideMark/>
          </w:tcPr>
          <w:p w14:paraId="6FD0F360" w14:textId="77777777" w:rsidR="005C3A15" w:rsidRPr="00A75B58" w:rsidRDefault="00280311" w:rsidP="005C3A15">
            <w:pPr>
              <w:jc w:val="center"/>
              <w:rPr>
                <w:rFonts w:eastAsia="Times New Roman" w:cs="Times New Roman"/>
                <w:b/>
                <w:color w:val="000000"/>
                <w:sz w:val="20"/>
                <w:szCs w:val="20"/>
                <w:lang w:eastAsia="en-US"/>
              </w:rPr>
            </w:pPr>
            <w:r>
              <w:rPr>
                <w:rFonts w:eastAsia="Times New Roman" w:cs="Times New Roman"/>
                <w:b/>
                <w:color w:val="000000"/>
                <w:sz w:val="20"/>
                <w:szCs w:val="20"/>
                <w:lang w:eastAsia="en-US"/>
              </w:rPr>
              <w:t>0</w:t>
            </w:r>
            <w:r w:rsidR="005C3A15" w:rsidRPr="00A75B58">
              <w:rPr>
                <w:rFonts w:eastAsia="Times New Roman" w:cs="Times New Roman"/>
                <w:b/>
                <w:color w:val="000000"/>
                <w:sz w:val="20"/>
                <w:szCs w:val="20"/>
                <w:lang w:eastAsia="en-US"/>
              </w:rPr>
              <w:t>%</w:t>
            </w:r>
          </w:p>
        </w:tc>
        <w:tc>
          <w:tcPr>
            <w:tcW w:w="840" w:type="dxa"/>
            <w:tcBorders>
              <w:top w:val="nil"/>
              <w:left w:val="nil"/>
              <w:bottom w:val="nil"/>
              <w:right w:val="nil"/>
            </w:tcBorders>
            <w:shd w:val="clear" w:color="000000" w:fill="FFFFFF"/>
            <w:noWrap/>
            <w:vAlign w:val="center"/>
            <w:hideMark/>
          </w:tcPr>
          <w:p w14:paraId="3E159074" w14:textId="77777777" w:rsidR="005C3A15" w:rsidRPr="00A75B58" w:rsidRDefault="00280311" w:rsidP="005C3A15">
            <w:pPr>
              <w:jc w:val="center"/>
              <w:rPr>
                <w:rFonts w:eastAsia="Times New Roman" w:cs="Times New Roman"/>
                <w:b/>
                <w:color w:val="000000"/>
                <w:sz w:val="20"/>
                <w:szCs w:val="20"/>
                <w:lang w:eastAsia="en-US"/>
              </w:rPr>
            </w:pPr>
            <w:r>
              <w:rPr>
                <w:rFonts w:eastAsia="Times New Roman" w:cs="Times New Roman"/>
                <w:b/>
                <w:color w:val="000000"/>
                <w:sz w:val="20"/>
                <w:szCs w:val="20"/>
                <w:lang w:eastAsia="en-US"/>
              </w:rPr>
              <w:t>20</w:t>
            </w:r>
            <w:r w:rsidR="005C3A15" w:rsidRPr="00A75B58">
              <w:rPr>
                <w:rFonts w:eastAsia="Times New Roman" w:cs="Times New Roman"/>
                <w:b/>
                <w:color w:val="000000"/>
                <w:sz w:val="20"/>
                <w:szCs w:val="20"/>
                <w:lang w:eastAsia="en-US"/>
              </w:rPr>
              <w:t>%</w:t>
            </w:r>
          </w:p>
        </w:tc>
        <w:tc>
          <w:tcPr>
            <w:tcW w:w="1204" w:type="dxa"/>
            <w:tcBorders>
              <w:top w:val="nil"/>
              <w:left w:val="nil"/>
              <w:bottom w:val="nil"/>
              <w:right w:val="single" w:sz="8" w:space="0" w:color="auto"/>
            </w:tcBorders>
            <w:shd w:val="clear" w:color="000000" w:fill="FFFFFF"/>
            <w:noWrap/>
            <w:vAlign w:val="center"/>
            <w:hideMark/>
          </w:tcPr>
          <w:p w14:paraId="5C537F3E" w14:textId="77777777" w:rsidR="005C3A15" w:rsidRPr="00A75B58" w:rsidRDefault="002D1577" w:rsidP="005C3A15">
            <w:pPr>
              <w:jc w:val="center"/>
              <w:rPr>
                <w:rFonts w:eastAsia="Times New Roman" w:cs="Times New Roman"/>
                <w:b/>
                <w:color w:val="000000"/>
                <w:sz w:val="20"/>
                <w:szCs w:val="20"/>
                <w:lang w:eastAsia="en-US"/>
              </w:rPr>
            </w:pPr>
            <w:r>
              <w:rPr>
                <w:rFonts w:eastAsia="Times New Roman" w:cs="Times New Roman"/>
                <w:b/>
                <w:color w:val="000000"/>
                <w:sz w:val="20"/>
                <w:szCs w:val="20"/>
                <w:lang w:eastAsia="en-US"/>
              </w:rPr>
              <w:t>15</w:t>
            </w:r>
            <w:r w:rsidR="005C3A15" w:rsidRPr="00A75B58">
              <w:rPr>
                <w:rFonts w:eastAsia="Times New Roman" w:cs="Times New Roman"/>
                <w:b/>
                <w:color w:val="000000"/>
                <w:sz w:val="20"/>
                <w:szCs w:val="20"/>
                <w:lang w:eastAsia="en-US"/>
              </w:rPr>
              <w:t>%</w:t>
            </w:r>
          </w:p>
        </w:tc>
      </w:tr>
      <w:tr w:rsidR="005C3A15" w:rsidRPr="005C3A15" w14:paraId="0D144925" w14:textId="77777777" w:rsidTr="00056D87">
        <w:trPr>
          <w:trHeight w:val="300"/>
          <w:jc w:val="center"/>
        </w:trPr>
        <w:tc>
          <w:tcPr>
            <w:tcW w:w="2374" w:type="dxa"/>
            <w:tcBorders>
              <w:top w:val="nil"/>
              <w:left w:val="single" w:sz="8" w:space="0" w:color="auto"/>
              <w:bottom w:val="nil"/>
              <w:right w:val="nil"/>
            </w:tcBorders>
            <w:shd w:val="clear" w:color="000000" w:fill="FFFFFF"/>
            <w:noWrap/>
            <w:vAlign w:val="center"/>
            <w:hideMark/>
          </w:tcPr>
          <w:p w14:paraId="1E48728A" w14:textId="77777777" w:rsidR="005C3A15" w:rsidRPr="00A75B58" w:rsidRDefault="003E4503" w:rsidP="005C3A15">
            <w:pPr>
              <w:rPr>
                <w:rFonts w:eastAsia="Times New Roman" w:cs="Times New Roman"/>
                <w:b/>
                <w:color w:val="000000"/>
                <w:sz w:val="20"/>
                <w:szCs w:val="20"/>
                <w:lang w:eastAsia="en-US"/>
              </w:rPr>
            </w:pPr>
            <w:r>
              <w:rPr>
                <w:rFonts w:eastAsia="Times New Roman" w:cs="Times New Roman"/>
                <w:b/>
                <w:color w:val="000000"/>
                <w:sz w:val="20"/>
                <w:szCs w:val="20"/>
                <w:lang w:eastAsia="en-US"/>
              </w:rPr>
              <w:t>Fixed Income</w:t>
            </w:r>
          </w:p>
        </w:tc>
        <w:tc>
          <w:tcPr>
            <w:tcW w:w="1120" w:type="dxa"/>
            <w:tcBorders>
              <w:top w:val="nil"/>
              <w:left w:val="nil"/>
              <w:bottom w:val="nil"/>
              <w:right w:val="nil"/>
            </w:tcBorders>
            <w:shd w:val="clear" w:color="auto" w:fill="auto"/>
            <w:noWrap/>
            <w:vAlign w:val="center"/>
            <w:hideMark/>
          </w:tcPr>
          <w:p w14:paraId="5C5ECD08" w14:textId="77777777" w:rsidR="005C3A15" w:rsidRPr="00A75B58" w:rsidRDefault="005C3A15" w:rsidP="005C3A15">
            <w:pPr>
              <w:rPr>
                <w:rFonts w:eastAsia="Times New Roman" w:cs="Times New Roman"/>
                <w:b/>
                <w:color w:val="000000"/>
                <w:sz w:val="20"/>
                <w:szCs w:val="20"/>
                <w:lang w:eastAsia="en-US"/>
              </w:rPr>
            </w:pPr>
          </w:p>
        </w:tc>
        <w:tc>
          <w:tcPr>
            <w:tcW w:w="840" w:type="dxa"/>
            <w:tcBorders>
              <w:top w:val="nil"/>
              <w:left w:val="nil"/>
              <w:bottom w:val="nil"/>
              <w:right w:val="nil"/>
            </w:tcBorders>
            <w:shd w:val="clear" w:color="000000" w:fill="FFFFFF"/>
            <w:noWrap/>
            <w:vAlign w:val="center"/>
            <w:hideMark/>
          </w:tcPr>
          <w:p w14:paraId="3BEC8EE3" w14:textId="77777777" w:rsidR="005C3A15" w:rsidRPr="00A75B58" w:rsidRDefault="00280311" w:rsidP="005C3A15">
            <w:pPr>
              <w:jc w:val="center"/>
              <w:rPr>
                <w:rFonts w:eastAsia="Times New Roman" w:cs="Times New Roman"/>
                <w:b/>
                <w:color w:val="000000"/>
                <w:sz w:val="20"/>
                <w:szCs w:val="20"/>
                <w:lang w:eastAsia="en-US"/>
              </w:rPr>
            </w:pPr>
            <w:r>
              <w:rPr>
                <w:rFonts w:eastAsia="Times New Roman" w:cs="Times New Roman"/>
                <w:b/>
                <w:color w:val="000000"/>
                <w:sz w:val="20"/>
                <w:szCs w:val="20"/>
                <w:lang w:eastAsia="en-US"/>
              </w:rPr>
              <w:t>20</w:t>
            </w:r>
            <w:r w:rsidR="005C3A15" w:rsidRPr="00A75B58">
              <w:rPr>
                <w:rFonts w:eastAsia="Times New Roman" w:cs="Times New Roman"/>
                <w:b/>
                <w:color w:val="000000"/>
                <w:sz w:val="20"/>
                <w:szCs w:val="20"/>
                <w:lang w:eastAsia="en-US"/>
              </w:rPr>
              <w:t>%</w:t>
            </w:r>
          </w:p>
        </w:tc>
        <w:tc>
          <w:tcPr>
            <w:tcW w:w="840" w:type="dxa"/>
            <w:tcBorders>
              <w:top w:val="nil"/>
              <w:left w:val="nil"/>
              <w:bottom w:val="nil"/>
              <w:right w:val="nil"/>
            </w:tcBorders>
            <w:shd w:val="clear" w:color="000000" w:fill="FFFFFF"/>
            <w:noWrap/>
            <w:vAlign w:val="center"/>
            <w:hideMark/>
          </w:tcPr>
          <w:p w14:paraId="7D327247" w14:textId="77777777" w:rsidR="005C3A15" w:rsidRPr="00A75B58" w:rsidRDefault="00280311" w:rsidP="005C3A15">
            <w:pPr>
              <w:jc w:val="center"/>
              <w:rPr>
                <w:rFonts w:eastAsia="Times New Roman" w:cs="Times New Roman"/>
                <w:b/>
                <w:color w:val="000000"/>
                <w:sz w:val="20"/>
                <w:szCs w:val="20"/>
                <w:lang w:eastAsia="en-US"/>
              </w:rPr>
            </w:pPr>
            <w:r>
              <w:rPr>
                <w:rFonts w:eastAsia="Times New Roman" w:cs="Times New Roman"/>
                <w:b/>
                <w:color w:val="000000"/>
                <w:sz w:val="20"/>
                <w:szCs w:val="20"/>
                <w:lang w:eastAsia="en-US"/>
              </w:rPr>
              <w:t>38</w:t>
            </w:r>
            <w:r w:rsidR="005C3A15" w:rsidRPr="00A75B58">
              <w:rPr>
                <w:rFonts w:eastAsia="Times New Roman" w:cs="Times New Roman"/>
                <w:b/>
                <w:color w:val="000000"/>
                <w:sz w:val="20"/>
                <w:szCs w:val="20"/>
                <w:lang w:eastAsia="en-US"/>
              </w:rPr>
              <w:t>%</w:t>
            </w:r>
          </w:p>
        </w:tc>
        <w:tc>
          <w:tcPr>
            <w:tcW w:w="1204" w:type="dxa"/>
            <w:tcBorders>
              <w:top w:val="nil"/>
              <w:left w:val="nil"/>
              <w:bottom w:val="nil"/>
              <w:right w:val="single" w:sz="8" w:space="0" w:color="auto"/>
            </w:tcBorders>
            <w:shd w:val="clear" w:color="000000" w:fill="FFFFFF"/>
            <w:noWrap/>
            <w:vAlign w:val="center"/>
            <w:hideMark/>
          </w:tcPr>
          <w:p w14:paraId="13570981" w14:textId="77777777" w:rsidR="005C3A15" w:rsidRPr="00A75B58" w:rsidRDefault="003E4503" w:rsidP="005C3A15">
            <w:pPr>
              <w:jc w:val="center"/>
              <w:rPr>
                <w:rFonts w:eastAsia="Times New Roman" w:cs="Times New Roman"/>
                <w:b/>
                <w:color w:val="000000"/>
                <w:sz w:val="20"/>
                <w:szCs w:val="20"/>
                <w:lang w:eastAsia="en-US"/>
              </w:rPr>
            </w:pPr>
            <w:r>
              <w:rPr>
                <w:rFonts w:eastAsia="Times New Roman" w:cs="Times New Roman"/>
                <w:b/>
                <w:color w:val="000000"/>
                <w:sz w:val="20"/>
                <w:szCs w:val="20"/>
                <w:lang w:eastAsia="en-US"/>
              </w:rPr>
              <w:t>24</w:t>
            </w:r>
            <w:r w:rsidR="005C3A15" w:rsidRPr="00A75B58">
              <w:rPr>
                <w:rFonts w:eastAsia="Times New Roman" w:cs="Times New Roman"/>
                <w:b/>
                <w:color w:val="000000"/>
                <w:sz w:val="20"/>
                <w:szCs w:val="20"/>
                <w:lang w:eastAsia="en-US"/>
              </w:rPr>
              <w:t>%</w:t>
            </w:r>
          </w:p>
        </w:tc>
      </w:tr>
      <w:tr w:rsidR="005C3A15" w:rsidRPr="005C3A15" w14:paraId="074E3D19" w14:textId="77777777" w:rsidTr="00056D87">
        <w:trPr>
          <w:trHeight w:val="300"/>
          <w:jc w:val="center"/>
        </w:trPr>
        <w:tc>
          <w:tcPr>
            <w:tcW w:w="2374" w:type="dxa"/>
            <w:tcBorders>
              <w:top w:val="nil"/>
              <w:left w:val="single" w:sz="8" w:space="0" w:color="auto"/>
              <w:bottom w:val="nil"/>
              <w:right w:val="nil"/>
            </w:tcBorders>
            <w:shd w:val="clear" w:color="000000" w:fill="FFFFFF"/>
            <w:noWrap/>
            <w:vAlign w:val="center"/>
            <w:hideMark/>
          </w:tcPr>
          <w:p w14:paraId="5E46DB85" w14:textId="77777777" w:rsidR="005C3A15" w:rsidRPr="00A75B58" w:rsidRDefault="005C3A15" w:rsidP="005C3A15">
            <w:pPr>
              <w:rPr>
                <w:rFonts w:eastAsia="Times New Roman" w:cs="Times New Roman"/>
                <w:b/>
                <w:color w:val="000000"/>
                <w:sz w:val="20"/>
                <w:szCs w:val="20"/>
                <w:lang w:eastAsia="en-US"/>
              </w:rPr>
            </w:pPr>
            <w:r w:rsidRPr="00A75B58">
              <w:rPr>
                <w:rFonts w:eastAsia="Times New Roman" w:cs="Times New Roman"/>
                <w:b/>
                <w:color w:val="000000"/>
                <w:sz w:val="20"/>
                <w:szCs w:val="20"/>
                <w:lang w:eastAsia="en-US"/>
              </w:rPr>
              <w:t>Equities - domestic</w:t>
            </w:r>
          </w:p>
        </w:tc>
        <w:tc>
          <w:tcPr>
            <w:tcW w:w="1120" w:type="dxa"/>
            <w:tcBorders>
              <w:top w:val="nil"/>
              <w:left w:val="nil"/>
              <w:bottom w:val="nil"/>
              <w:right w:val="nil"/>
            </w:tcBorders>
            <w:shd w:val="clear" w:color="auto" w:fill="auto"/>
            <w:noWrap/>
            <w:vAlign w:val="center"/>
            <w:hideMark/>
          </w:tcPr>
          <w:p w14:paraId="5F60574E" w14:textId="77777777" w:rsidR="005C3A15" w:rsidRPr="00A75B58" w:rsidRDefault="005C3A15" w:rsidP="005C3A15">
            <w:pPr>
              <w:rPr>
                <w:rFonts w:eastAsia="Times New Roman" w:cs="Times New Roman"/>
                <w:b/>
                <w:color w:val="000000"/>
                <w:sz w:val="20"/>
                <w:szCs w:val="20"/>
                <w:lang w:eastAsia="en-US"/>
              </w:rPr>
            </w:pPr>
          </w:p>
        </w:tc>
        <w:tc>
          <w:tcPr>
            <w:tcW w:w="840" w:type="dxa"/>
            <w:tcBorders>
              <w:top w:val="nil"/>
              <w:left w:val="nil"/>
              <w:bottom w:val="nil"/>
              <w:right w:val="nil"/>
            </w:tcBorders>
            <w:shd w:val="clear" w:color="000000" w:fill="FFFFFF"/>
            <w:noWrap/>
            <w:vAlign w:val="center"/>
            <w:hideMark/>
          </w:tcPr>
          <w:p w14:paraId="0E022AF3" w14:textId="77777777" w:rsidR="005C3A15" w:rsidRPr="00A75B58" w:rsidRDefault="003E4503" w:rsidP="005C3A15">
            <w:pPr>
              <w:jc w:val="center"/>
              <w:rPr>
                <w:rFonts w:eastAsia="Times New Roman" w:cs="Times New Roman"/>
                <w:b/>
                <w:color w:val="000000"/>
                <w:sz w:val="20"/>
                <w:szCs w:val="20"/>
                <w:lang w:eastAsia="en-US"/>
              </w:rPr>
            </w:pPr>
            <w:r>
              <w:rPr>
                <w:rFonts w:eastAsia="Times New Roman" w:cs="Times New Roman"/>
                <w:b/>
                <w:color w:val="000000"/>
                <w:sz w:val="20"/>
                <w:szCs w:val="20"/>
                <w:lang w:eastAsia="en-US"/>
              </w:rPr>
              <w:t>17</w:t>
            </w:r>
            <w:r w:rsidR="005C3A15" w:rsidRPr="00A75B58">
              <w:rPr>
                <w:rFonts w:eastAsia="Times New Roman" w:cs="Times New Roman"/>
                <w:b/>
                <w:color w:val="000000"/>
                <w:sz w:val="20"/>
                <w:szCs w:val="20"/>
                <w:lang w:eastAsia="en-US"/>
              </w:rPr>
              <w:t>%</w:t>
            </w:r>
          </w:p>
        </w:tc>
        <w:tc>
          <w:tcPr>
            <w:tcW w:w="840" w:type="dxa"/>
            <w:tcBorders>
              <w:top w:val="nil"/>
              <w:left w:val="nil"/>
              <w:bottom w:val="nil"/>
              <w:right w:val="nil"/>
            </w:tcBorders>
            <w:shd w:val="clear" w:color="000000" w:fill="FFFFFF"/>
            <w:noWrap/>
            <w:vAlign w:val="center"/>
            <w:hideMark/>
          </w:tcPr>
          <w:p w14:paraId="04365711" w14:textId="77777777" w:rsidR="005C3A15" w:rsidRPr="00A75B58" w:rsidRDefault="003E4503" w:rsidP="005C3A15">
            <w:pPr>
              <w:jc w:val="center"/>
              <w:rPr>
                <w:rFonts w:eastAsia="Times New Roman" w:cs="Times New Roman"/>
                <w:b/>
                <w:color w:val="000000"/>
                <w:sz w:val="20"/>
                <w:szCs w:val="20"/>
                <w:lang w:eastAsia="en-US"/>
              </w:rPr>
            </w:pPr>
            <w:r>
              <w:rPr>
                <w:rFonts w:eastAsia="Times New Roman" w:cs="Times New Roman"/>
                <w:b/>
                <w:color w:val="000000"/>
                <w:sz w:val="20"/>
                <w:szCs w:val="20"/>
                <w:lang w:eastAsia="en-US"/>
              </w:rPr>
              <w:t>27</w:t>
            </w:r>
            <w:r w:rsidR="005C3A15" w:rsidRPr="00A75B58">
              <w:rPr>
                <w:rFonts w:eastAsia="Times New Roman" w:cs="Times New Roman"/>
                <w:b/>
                <w:color w:val="000000"/>
                <w:sz w:val="20"/>
                <w:szCs w:val="20"/>
                <w:lang w:eastAsia="en-US"/>
              </w:rPr>
              <w:t>%</w:t>
            </w:r>
          </w:p>
        </w:tc>
        <w:tc>
          <w:tcPr>
            <w:tcW w:w="1204" w:type="dxa"/>
            <w:tcBorders>
              <w:top w:val="nil"/>
              <w:left w:val="nil"/>
              <w:bottom w:val="nil"/>
              <w:right w:val="single" w:sz="8" w:space="0" w:color="auto"/>
            </w:tcBorders>
            <w:shd w:val="clear" w:color="000000" w:fill="FFFFFF"/>
            <w:noWrap/>
            <w:vAlign w:val="center"/>
            <w:hideMark/>
          </w:tcPr>
          <w:p w14:paraId="33B6CFCA" w14:textId="77777777" w:rsidR="005C3A15" w:rsidRPr="00A75B58" w:rsidRDefault="003E4503" w:rsidP="005C3A15">
            <w:pPr>
              <w:jc w:val="center"/>
              <w:rPr>
                <w:rFonts w:eastAsia="Times New Roman" w:cs="Times New Roman"/>
                <w:b/>
                <w:color w:val="000000"/>
                <w:sz w:val="20"/>
                <w:szCs w:val="20"/>
                <w:lang w:eastAsia="en-US"/>
              </w:rPr>
            </w:pPr>
            <w:r>
              <w:rPr>
                <w:rFonts w:eastAsia="Times New Roman" w:cs="Times New Roman"/>
                <w:b/>
                <w:color w:val="000000"/>
                <w:sz w:val="20"/>
                <w:szCs w:val="20"/>
                <w:lang w:eastAsia="en-US"/>
              </w:rPr>
              <w:t>31</w:t>
            </w:r>
            <w:r w:rsidR="005C3A15" w:rsidRPr="00A75B58">
              <w:rPr>
                <w:rFonts w:eastAsia="Times New Roman" w:cs="Times New Roman"/>
                <w:b/>
                <w:color w:val="000000"/>
                <w:sz w:val="20"/>
                <w:szCs w:val="20"/>
                <w:lang w:eastAsia="en-US"/>
              </w:rPr>
              <w:t>%</w:t>
            </w:r>
          </w:p>
        </w:tc>
      </w:tr>
      <w:tr w:rsidR="005C3A15" w:rsidRPr="005C3A15" w14:paraId="140B9421" w14:textId="77777777" w:rsidTr="00056D87">
        <w:trPr>
          <w:trHeight w:val="300"/>
          <w:jc w:val="center"/>
        </w:trPr>
        <w:tc>
          <w:tcPr>
            <w:tcW w:w="2374" w:type="dxa"/>
            <w:tcBorders>
              <w:top w:val="nil"/>
              <w:left w:val="single" w:sz="8" w:space="0" w:color="auto"/>
              <w:bottom w:val="nil"/>
              <w:right w:val="nil"/>
            </w:tcBorders>
            <w:shd w:val="clear" w:color="000000" w:fill="FFFFFF"/>
            <w:noWrap/>
            <w:vAlign w:val="center"/>
            <w:hideMark/>
          </w:tcPr>
          <w:p w14:paraId="5F8A8AD9" w14:textId="77777777" w:rsidR="005C3A15" w:rsidRPr="00A75B58" w:rsidRDefault="005C3A15" w:rsidP="005C3A15">
            <w:pPr>
              <w:rPr>
                <w:rFonts w:eastAsia="Times New Roman" w:cs="Times New Roman"/>
                <w:b/>
                <w:color w:val="000000"/>
                <w:sz w:val="20"/>
                <w:szCs w:val="20"/>
                <w:lang w:eastAsia="en-US"/>
              </w:rPr>
            </w:pPr>
            <w:r w:rsidRPr="00A75B58">
              <w:rPr>
                <w:rFonts w:eastAsia="Times New Roman" w:cs="Times New Roman"/>
                <w:b/>
                <w:color w:val="000000"/>
                <w:sz w:val="20"/>
                <w:szCs w:val="20"/>
                <w:lang w:eastAsia="en-US"/>
              </w:rPr>
              <w:t>International Equity</w:t>
            </w:r>
          </w:p>
        </w:tc>
        <w:tc>
          <w:tcPr>
            <w:tcW w:w="1120" w:type="dxa"/>
            <w:tcBorders>
              <w:top w:val="nil"/>
              <w:left w:val="nil"/>
              <w:bottom w:val="nil"/>
              <w:right w:val="nil"/>
            </w:tcBorders>
            <w:shd w:val="clear" w:color="auto" w:fill="auto"/>
            <w:noWrap/>
            <w:vAlign w:val="center"/>
            <w:hideMark/>
          </w:tcPr>
          <w:p w14:paraId="60FD8B76" w14:textId="77777777" w:rsidR="005C3A15" w:rsidRPr="00A75B58" w:rsidRDefault="005C3A15" w:rsidP="005C3A15">
            <w:pPr>
              <w:rPr>
                <w:rFonts w:eastAsia="Times New Roman" w:cs="Times New Roman"/>
                <w:b/>
                <w:color w:val="000000"/>
                <w:sz w:val="20"/>
                <w:szCs w:val="20"/>
                <w:lang w:eastAsia="en-US"/>
              </w:rPr>
            </w:pPr>
          </w:p>
        </w:tc>
        <w:tc>
          <w:tcPr>
            <w:tcW w:w="840" w:type="dxa"/>
            <w:tcBorders>
              <w:top w:val="nil"/>
              <w:left w:val="nil"/>
              <w:bottom w:val="nil"/>
              <w:right w:val="nil"/>
            </w:tcBorders>
            <w:shd w:val="clear" w:color="000000" w:fill="FFFFFF"/>
            <w:noWrap/>
            <w:vAlign w:val="center"/>
            <w:hideMark/>
          </w:tcPr>
          <w:p w14:paraId="79DC0588" w14:textId="77777777" w:rsidR="005C3A15" w:rsidRPr="00A75B58" w:rsidRDefault="00280311" w:rsidP="005C3A15">
            <w:pPr>
              <w:jc w:val="center"/>
              <w:rPr>
                <w:rFonts w:eastAsia="Times New Roman" w:cs="Times New Roman"/>
                <w:b/>
                <w:color w:val="000000"/>
                <w:sz w:val="20"/>
                <w:szCs w:val="20"/>
                <w:lang w:eastAsia="en-US"/>
              </w:rPr>
            </w:pPr>
            <w:r>
              <w:rPr>
                <w:rFonts w:eastAsia="Times New Roman" w:cs="Times New Roman"/>
                <w:b/>
                <w:color w:val="000000"/>
                <w:sz w:val="20"/>
                <w:szCs w:val="20"/>
                <w:lang w:eastAsia="en-US"/>
              </w:rPr>
              <w:t>16</w:t>
            </w:r>
            <w:r w:rsidR="005C3A15" w:rsidRPr="00A75B58">
              <w:rPr>
                <w:rFonts w:eastAsia="Times New Roman" w:cs="Times New Roman"/>
                <w:b/>
                <w:color w:val="000000"/>
                <w:sz w:val="20"/>
                <w:szCs w:val="20"/>
                <w:lang w:eastAsia="en-US"/>
              </w:rPr>
              <w:t>%</w:t>
            </w:r>
          </w:p>
        </w:tc>
        <w:tc>
          <w:tcPr>
            <w:tcW w:w="840" w:type="dxa"/>
            <w:tcBorders>
              <w:top w:val="nil"/>
              <w:left w:val="nil"/>
              <w:bottom w:val="nil"/>
              <w:right w:val="nil"/>
            </w:tcBorders>
            <w:shd w:val="clear" w:color="000000" w:fill="FFFFFF"/>
            <w:noWrap/>
            <w:vAlign w:val="center"/>
            <w:hideMark/>
          </w:tcPr>
          <w:p w14:paraId="08CD202E" w14:textId="77777777" w:rsidR="005C3A15" w:rsidRPr="00A75B58" w:rsidRDefault="00280311" w:rsidP="005C3A15">
            <w:pPr>
              <w:jc w:val="center"/>
              <w:rPr>
                <w:rFonts w:eastAsia="Times New Roman" w:cs="Times New Roman"/>
                <w:b/>
                <w:color w:val="000000"/>
                <w:sz w:val="20"/>
                <w:szCs w:val="20"/>
                <w:lang w:eastAsia="en-US"/>
              </w:rPr>
            </w:pPr>
            <w:r>
              <w:rPr>
                <w:rFonts w:eastAsia="Times New Roman" w:cs="Times New Roman"/>
                <w:b/>
                <w:color w:val="000000"/>
                <w:sz w:val="20"/>
                <w:szCs w:val="20"/>
                <w:lang w:eastAsia="en-US"/>
              </w:rPr>
              <w:t>30</w:t>
            </w:r>
            <w:r w:rsidR="005C3A15" w:rsidRPr="00A75B58">
              <w:rPr>
                <w:rFonts w:eastAsia="Times New Roman" w:cs="Times New Roman"/>
                <w:b/>
                <w:color w:val="000000"/>
                <w:sz w:val="20"/>
                <w:szCs w:val="20"/>
                <w:lang w:eastAsia="en-US"/>
              </w:rPr>
              <w:t>%</w:t>
            </w:r>
          </w:p>
        </w:tc>
        <w:tc>
          <w:tcPr>
            <w:tcW w:w="1204" w:type="dxa"/>
            <w:tcBorders>
              <w:top w:val="nil"/>
              <w:left w:val="nil"/>
              <w:bottom w:val="nil"/>
              <w:right w:val="single" w:sz="8" w:space="0" w:color="auto"/>
            </w:tcBorders>
            <w:shd w:val="clear" w:color="000000" w:fill="FFFFFF"/>
            <w:noWrap/>
            <w:vAlign w:val="center"/>
            <w:hideMark/>
          </w:tcPr>
          <w:p w14:paraId="40583C3C" w14:textId="77777777" w:rsidR="005C3A15" w:rsidRPr="00A75B58" w:rsidRDefault="00280311" w:rsidP="005C3A15">
            <w:pPr>
              <w:jc w:val="center"/>
              <w:rPr>
                <w:rFonts w:eastAsia="Times New Roman" w:cs="Times New Roman"/>
                <w:b/>
                <w:color w:val="000000"/>
                <w:sz w:val="20"/>
                <w:szCs w:val="20"/>
                <w:lang w:eastAsia="en-US"/>
              </w:rPr>
            </w:pPr>
            <w:r>
              <w:rPr>
                <w:rFonts w:eastAsia="Times New Roman" w:cs="Times New Roman"/>
                <w:b/>
                <w:color w:val="000000"/>
                <w:sz w:val="20"/>
                <w:szCs w:val="20"/>
                <w:lang w:eastAsia="en-US"/>
              </w:rPr>
              <w:t>9</w:t>
            </w:r>
            <w:r w:rsidR="005C3A15" w:rsidRPr="00A75B58">
              <w:rPr>
                <w:rFonts w:eastAsia="Times New Roman" w:cs="Times New Roman"/>
                <w:b/>
                <w:color w:val="000000"/>
                <w:sz w:val="20"/>
                <w:szCs w:val="20"/>
                <w:lang w:eastAsia="en-US"/>
              </w:rPr>
              <w:t>%</w:t>
            </w:r>
          </w:p>
        </w:tc>
      </w:tr>
      <w:tr w:rsidR="005C3A15" w:rsidRPr="005C3A15" w14:paraId="77D21330" w14:textId="77777777" w:rsidTr="00056D87">
        <w:trPr>
          <w:trHeight w:val="300"/>
          <w:jc w:val="center"/>
        </w:trPr>
        <w:tc>
          <w:tcPr>
            <w:tcW w:w="2374" w:type="dxa"/>
            <w:tcBorders>
              <w:top w:val="nil"/>
              <w:left w:val="single" w:sz="8" w:space="0" w:color="auto"/>
              <w:bottom w:val="single" w:sz="4" w:space="0" w:color="auto"/>
              <w:right w:val="nil"/>
            </w:tcBorders>
            <w:shd w:val="clear" w:color="000000" w:fill="FFFFFF"/>
            <w:noWrap/>
            <w:vAlign w:val="center"/>
            <w:hideMark/>
          </w:tcPr>
          <w:p w14:paraId="1B3E70A9" w14:textId="0A6CDEAF" w:rsidR="005C3A15" w:rsidRPr="00A75B58" w:rsidRDefault="00056D87" w:rsidP="005C3A15">
            <w:pPr>
              <w:rPr>
                <w:rFonts w:eastAsia="Times New Roman" w:cs="Times New Roman"/>
                <w:b/>
                <w:color w:val="000000"/>
                <w:sz w:val="20"/>
                <w:szCs w:val="20"/>
                <w:lang w:eastAsia="en-US"/>
              </w:rPr>
            </w:pPr>
            <w:r>
              <w:rPr>
                <w:rFonts w:eastAsia="Times New Roman" w:cs="Times New Roman"/>
                <w:b/>
                <w:color w:val="000000"/>
                <w:sz w:val="20"/>
                <w:szCs w:val="20"/>
                <w:lang w:eastAsia="en-US"/>
              </w:rPr>
              <w:t>Property</w:t>
            </w:r>
            <w:r w:rsidR="005C3A15" w:rsidRPr="00A75B58">
              <w:rPr>
                <w:rFonts w:eastAsia="Times New Roman" w:cs="Times New Roman"/>
                <w:b/>
                <w:color w:val="000000"/>
                <w:sz w:val="20"/>
                <w:szCs w:val="20"/>
                <w:lang w:eastAsia="en-US"/>
              </w:rPr>
              <w:t xml:space="preserve"> &amp; Fixed Asset</w:t>
            </w:r>
            <w:r>
              <w:rPr>
                <w:rFonts w:eastAsia="Times New Roman" w:cs="Times New Roman"/>
                <w:b/>
                <w:color w:val="000000"/>
                <w:sz w:val="20"/>
                <w:szCs w:val="20"/>
                <w:lang w:eastAsia="en-US"/>
              </w:rPr>
              <w:t>s</w:t>
            </w:r>
          </w:p>
        </w:tc>
        <w:tc>
          <w:tcPr>
            <w:tcW w:w="1120" w:type="dxa"/>
            <w:tcBorders>
              <w:top w:val="nil"/>
              <w:left w:val="nil"/>
              <w:bottom w:val="single" w:sz="4" w:space="0" w:color="auto"/>
              <w:right w:val="nil"/>
            </w:tcBorders>
            <w:shd w:val="clear" w:color="auto" w:fill="auto"/>
            <w:noWrap/>
            <w:vAlign w:val="center"/>
            <w:hideMark/>
          </w:tcPr>
          <w:p w14:paraId="4574BF7D" w14:textId="77777777" w:rsidR="005C3A15" w:rsidRPr="00A75B58" w:rsidRDefault="005C3A15" w:rsidP="005C3A15">
            <w:pPr>
              <w:rPr>
                <w:rFonts w:eastAsia="Times New Roman" w:cs="Times New Roman"/>
                <w:b/>
                <w:color w:val="000000"/>
                <w:sz w:val="20"/>
                <w:szCs w:val="20"/>
                <w:lang w:eastAsia="en-US"/>
              </w:rPr>
            </w:pPr>
            <w:r w:rsidRPr="00A75B58">
              <w:rPr>
                <w:rFonts w:eastAsia="Times New Roman" w:cs="Times New Roman"/>
                <w:b/>
                <w:color w:val="000000"/>
                <w:sz w:val="20"/>
                <w:szCs w:val="20"/>
                <w:lang w:eastAsia="en-US"/>
              </w:rPr>
              <w:t> </w:t>
            </w:r>
          </w:p>
        </w:tc>
        <w:tc>
          <w:tcPr>
            <w:tcW w:w="840" w:type="dxa"/>
            <w:tcBorders>
              <w:top w:val="nil"/>
              <w:left w:val="nil"/>
              <w:bottom w:val="single" w:sz="4" w:space="0" w:color="auto"/>
              <w:right w:val="nil"/>
            </w:tcBorders>
            <w:shd w:val="clear" w:color="000000" w:fill="FFFFFF"/>
            <w:noWrap/>
            <w:vAlign w:val="center"/>
            <w:hideMark/>
          </w:tcPr>
          <w:p w14:paraId="2AE2EBD0" w14:textId="77777777" w:rsidR="005C3A15" w:rsidRPr="00A75B58" w:rsidRDefault="003E4503" w:rsidP="005C3A15">
            <w:pPr>
              <w:jc w:val="center"/>
              <w:rPr>
                <w:rFonts w:eastAsia="Times New Roman" w:cs="Times New Roman"/>
                <w:b/>
                <w:color w:val="000000"/>
                <w:sz w:val="20"/>
                <w:szCs w:val="20"/>
                <w:lang w:eastAsia="en-US"/>
              </w:rPr>
            </w:pPr>
            <w:r>
              <w:rPr>
                <w:rFonts w:eastAsia="Times New Roman" w:cs="Times New Roman"/>
                <w:b/>
                <w:color w:val="000000"/>
                <w:sz w:val="20"/>
                <w:szCs w:val="20"/>
                <w:lang w:eastAsia="en-US"/>
              </w:rPr>
              <w:t>12</w:t>
            </w:r>
            <w:r w:rsidR="005C3A15" w:rsidRPr="00A75B58">
              <w:rPr>
                <w:rFonts w:eastAsia="Times New Roman" w:cs="Times New Roman"/>
                <w:b/>
                <w:color w:val="000000"/>
                <w:sz w:val="20"/>
                <w:szCs w:val="20"/>
                <w:lang w:eastAsia="en-US"/>
              </w:rPr>
              <w:t>%</w:t>
            </w:r>
          </w:p>
        </w:tc>
        <w:tc>
          <w:tcPr>
            <w:tcW w:w="840" w:type="dxa"/>
            <w:tcBorders>
              <w:top w:val="nil"/>
              <w:left w:val="nil"/>
              <w:bottom w:val="single" w:sz="4" w:space="0" w:color="auto"/>
              <w:right w:val="nil"/>
            </w:tcBorders>
            <w:shd w:val="clear" w:color="000000" w:fill="FFFFFF"/>
            <w:noWrap/>
            <w:vAlign w:val="center"/>
            <w:hideMark/>
          </w:tcPr>
          <w:p w14:paraId="5E7D5663" w14:textId="77777777" w:rsidR="005C3A15" w:rsidRPr="00A75B58" w:rsidRDefault="00280311" w:rsidP="005C3A15">
            <w:pPr>
              <w:jc w:val="center"/>
              <w:rPr>
                <w:rFonts w:eastAsia="Times New Roman" w:cs="Times New Roman"/>
                <w:b/>
                <w:color w:val="000000"/>
                <w:sz w:val="20"/>
                <w:szCs w:val="20"/>
                <w:lang w:eastAsia="en-US"/>
              </w:rPr>
            </w:pPr>
            <w:r>
              <w:rPr>
                <w:rFonts w:eastAsia="Times New Roman" w:cs="Times New Roman"/>
                <w:b/>
                <w:color w:val="000000"/>
                <w:sz w:val="20"/>
                <w:szCs w:val="20"/>
                <w:lang w:eastAsia="en-US"/>
              </w:rPr>
              <w:t>25</w:t>
            </w:r>
            <w:r w:rsidR="005C3A15" w:rsidRPr="00A75B58">
              <w:rPr>
                <w:rFonts w:eastAsia="Times New Roman" w:cs="Times New Roman"/>
                <w:b/>
                <w:color w:val="000000"/>
                <w:sz w:val="20"/>
                <w:szCs w:val="20"/>
                <w:lang w:eastAsia="en-US"/>
              </w:rPr>
              <w:t>%</w:t>
            </w:r>
          </w:p>
        </w:tc>
        <w:tc>
          <w:tcPr>
            <w:tcW w:w="1204" w:type="dxa"/>
            <w:tcBorders>
              <w:top w:val="nil"/>
              <w:left w:val="nil"/>
              <w:bottom w:val="single" w:sz="4" w:space="0" w:color="auto"/>
              <w:right w:val="single" w:sz="8" w:space="0" w:color="auto"/>
            </w:tcBorders>
            <w:shd w:val="clear" w:color="000000" w:fill="FFFFFF"/>
            <w:noWrap/>
            <w:vAlign w:val="center"/>
            <w:hideMark/>
          </w:tcPr>
          <w:p w14:paraId="09680D47" w14:textId="77777777" w:rsidR="005C3A15" w:rsidRPr="00A75B58" w:rsidRDefault="005C3A15" w:rsidP="005C3A15">
            <w:pPr>
              <w:jc w:val="center"/>
              <w:rPr>
                <w:rFonts w:eastAsia="Times New Roman" w:cs="Times New Roman"/>
                <w:b/>
                <w:color w:val="000000"/>
                <w:sz w:val="20"/>
                <w:szCs w:val="20"/>
                <w:lang w:eastAsia="en-US"/>
              </w:rPr>
            </w:pPr>
            <w:r w:rsidRPr="00A75B58">
              <w:rPr>
                <w:rFonts w:eastAsia="Times New Roman" w:cs="Times New Roman"/>
                <w:b/>
                <w:color w:val="000000"/>
                <w:sz w:val="20"/>
                <w:szCs w:val="20"/>
                <w:lang w:eastAsia="en-US"/>
              </w:rPr>
              <w:t>21%</w:t>
            </w:r>
          </w:p>
        </w:tc>
      </w:tr>
      <w:tr w:rsidR="005C3A15" w:rsidRPr="005C3A15" w14:paraId="2D8E3284" w14:textId="77777777" w:rsidTr="00056D87">
        <w:trPr>
          <w:trHeight w:val="320"/>
          <w:jc w:val="center"/>
        </w:trPr>
        <w:tc>
          <w:tcPr>
            <w:tcW w:w="3494" w:type="dxa"/>
            <w:gridSpan w:val="2"/>
            <w:tcBorders>
              <w:top w:val="nil"/>
              <w:left w:val="single" w:sz="8" w:space="0" w:color="auto"/>
              <w:bottom w:val="single" w:sz="8" w:space="0" w:color="auto"/>
              <w:right w:val="nil"/>
            </w:tcBorders>
            <w:shd w:val="clear" w:color="000000" w:fill="FFFFFF"/>
            <w:noWrap/>
            <w:vAlign w:val="center"/>
            <w:hideMark/>
          </w:tcPr>
          <w:p w14:paraId="513713B2" w14:textId="77777777" w:rsidR="005C3A15" w:rsidRPr="005C3A15" w:rsidRDefault="005C3A15" w:rsidP="005C3A15">
            <w:pPr>
              <w:rPr>
                <w:rFonts w:eastAsia="Times New Roman" w:cs="Times New Roman"/>
                <w:b/>
                <w:bCs/>
                <w:color w:val="000000"/>
                <w:sz w:val="20"/>
                <w:szCs w:val="20"/>
                <w:lang w:eastAsia="en-US"/>
              </w:rPr>
            </w:pPr>
            <w:r w:rsidRPr="005C3A15">
              <w:rPr>
                <w:rFonts w:eastAsia="Times New Roman" w:cs="Times New Roman"/>
                <w:b/>
                <w:bCs/>
                <w:color w:val="000000"/>
                <w:sz w:val="20"/>
                <w:szCs w:val="20"/>
                <w:lang w:eastAsia="en-US"/>
              </w:rPr>
              <w:t>Total</w:t>
            </w:r>
          </w:p>
        </w:tc>
        <w:tc>
          <w:tcPr>
            <w:tcW w:w="840" w:type="dxa"/>
            <w:tcBorders>
              <w:top w:val="nil"/>
              <w:left w:val="nil"/>
              <w:bottom w:val="single" w:sz="8" w:space="0" w:color="auto"/>
              <w:right w:val="nil"/>
            </w:tcBorders>
            <w:shd w:val="clear" w:color="000000" w:fill="FFFFFF"/>
            <w:noWrap/>
            <w:vAlign w:val="center"/>
            <w:hideMark/>
          </w:tcPr>
          <w:p w14:paraId="48FB65DC" w14:textId="77777777" w:rsidR="005C3A15" w:rsidRPr="005C3A15" w:rsidRDefault="005C3A15" w:rsidP="005C3A15">
            <w:pPr>
              <w:jc w:val="center"/>
              <w:rPr>
                <w:rFonts w:eastAsia="Times New Roman" w:cs="Times New Roman"/>
                <w:color w:val="000000"/>
                <w:sz w:val="20"/>
                <w:szCs w:val="20"/>
                <w:lang w:eastAsia="en-US"/>
              </w:rPr>
            </w:pPr>
            <w:r w:rsidRPr="005C3A15">
              <w:rPr>
                <w:rFonts w:eastAsia="Times New Roman" w:cs="Times New Roman"/>
                <w:color w:val="000000"/>
                <w:sz w:val="20"/>
                <w:szCs w:val="20"/>
                <w:lang w:eastAsia="en-US"/>
              </w:rPr>
              <w:t> </w:t>
            </w:r>
          </w:p>
        </w:tc>
        <w:tc>
          <w:tcPr>
            <w:tcW w:w="840" w:type="dxa"/>
            <w:tcBorders>
              <w:top w:val="nil"/>
              <w:left w:val="nil"/>
              <w:bottom w:val="single" w:sz="8" w:space="0" w:color="auto"/>
              <w:right w:val="nil"/>
            </w:tcBorders>
            <w:shd w:val="clear" w:color="000000" w:fill="FFFFFF"/>
            <w:noWrap/>
            <w:vAlign w:val="center"/>
            <w:hideMark/>
          </w:tcPr>
          <w:p w14:paraId="6F7F8CB9" w14:textId="77777777" w:rsidR="005C3A15" w:rsidRPr="005C3A15" w:rsidRDefault="005C3A15" w:rsidP="005C3A15">
            <w:pPr>
              <w:jc w:val="center"/>
              <w:rPr>
                <w:rFonts w:eastAsia="Times New Roman" w:cs="Times New Roman"/>
                <w:color w:val="000000"/>
                <w:sz w:val="20"/>
                <w:szCs w:val="20"/>
                <w:lang w:eastAsia="en-US"/>
              </w:rPr>
            </w:pPr>
            <w:r w:rsidRPr="005C3A15">
              <w:rPr>
                <w:rFonts w:eastAsia="Times New Roman" w:cs="Times New Roman"/>
                <w:color w:val="000000"/>
                <w:sz w:val="20"/>
                <w:szCs w:val="20"/>
                <w:lang w:eastAsia="en-US"/>
              </w:rPr>
              <w:t> </w:t>
            </w:r>
          </w:p>
        </w:tc>
        <w:tc>
          <w:tcPr>
            <w:tcW w:w="1204" w:type="dxa"/>
            <w:tcBorders>
              <w:top w:val="nil"/>
              <w:left w:val="nil"/>
              <w:bottom w:val="single" w:sz="8" w:space="0" w:color="auto"/>
              <w:right w:val="single" w:sz="8" w:space="0" w:color="auto"/>
            </w:tcBorders>
            <w:shd w:val="clear" w:color="000000" w:fill="FFFFFF"/>
            <w:noWrap/>
            <w:vAlign w:val="center"/>
            <w:hideMark/>
          </w:tcPr>
          <w:p w14:paraId="0B469351" w14:textId="77777777" w:rsidR="005C3A15" w:rsidRPr="005C3A15" w:rsidRDefault="005C3A15" w:rsidP="005C3A15">
            <w:pPr>
              <w:jc w:val="center"/>
              <w:rPr>
                <w:rFonts w:eastAsia="Times New Roman" w:cs="Times New Roman"/>
                <w:b/>
                <w:bCs/>
                <w:color w:val="000000"/>
                <w:sz w:val="20"/>
                <w:szCs w:val="20"/>
                <w:lang w:eastAsia="en-US"/>
              </w:rPr>
            </w:pPr>
            <w:r w:rsidRPr="005C3A15">
              <w:rPr>
                <w:rFonts w:eastAsia="Times New Roman" w:cs="Times New Roman"/>
                <w:b/>
                <w:bCs/>
                <w:color w:val="000000"/>
                <w:sz w:val="20"/>
                <w:szCs w:val="20"/>
                <w:lang w:eastAsia="en-US"/>
              </w:rPr>
              <w:t>100%</w:t>
            </w:r>
          </w:p>
        </w:tc>
      </w:tr>
    </w:tbl>
    <w:p w14:paraId="0E0B15D0" w14:textId="7251F5EF" w:rsidR="00056D87" w:rsidRDefault="0022107A" w:rsidP="00B855E9">
      <w:pPr>
        <w:widowControl w:val="0"/>
        <w:spacing w:after="240"/>
        <w:jc w:val="both"/>
        <w:rPr>
          <w:rFonts w:cs="Times New Roman"/>
          <w:bCs/>
          <w:i/>
          <w:sz w:val="20"/>
          <w:szCs w:val="20"/>
        </w:rPr>
      </w:pPr>
      <w:r>
        <w:rPr>
          <w:rFonts w:cs="Times New Roman"/>
          <w:bCs/>
          <w:i/>
          <w:sz w:val="20"/>
          <w:szCs w:val="20"/>
        </w:rPr>
        <w:t xml:space="preserve">                   </w:t>
      </w:r>
      <w:r w:rsidR="005C3A15">
        <w:rPr>
          <w:rFonts w:cs="Times New Roman"/>
          <w:bCs/>
          <w:i/>
          <w:sz w:val="20"/>
          <w:szCs w:val="20"/>
        </w:rPr>
        <w:t xml:space="preserve">     S</w:t>
      </w:r>
      <w:r w:rsidR="004868E6" w:rsidRPr="004868E6">
        <w:rPr>
          <w:rFonts w:cs="Times New Roman"/>
          <w:bCs/>
          <w:i/>
          <w:sz w:val="20"/>
          <w:szCs w:val="20"/>
        </w:rPr>
        <w:t xml:space="preserve">ource: </w:t>
      </w:r>
      <w:proofErr w:type="spellStart"/>
      <w:r w:rsidR="004868E6" w:rsidRPr="004868E6">
        <w:rPr>
          <w:rFonts w:cs="Times New Roman"/>
          <w:bCs/>
          <w:i/>
          <w:sz w:val="20"/>
          <w:szCs w:val="20"/>
        </w:rPr>
        <w:t>Nasfund</w:t>
      </w:r>
      <w:proofErr w:type="spellEnd"/>
    </w:p>
    <w:p w14:paraId="4D54C284" w14:textId="77777777" w:rsidR="00CD750D" w:rsidRDefault="00CD750D" w:rsidP="00B855E9">
      <w:pPr>
        <w:widowControl w:val="0"/>
        <w:spacing w:after="240"/>
        <w:jc w:val="both"/>
        <w:rPr>
          <w:rFonts w:cs="Times New Roman"/>
          <w:bCs/>
          <w:i/>
          <w:sz w:val="20"/>
          <w:szCs w:val="20"/>
        </w:rPr>
      </w:pPr>
    </w:p>
    <w:p w14:paraId="56C0D2DD" w14:textId="77777777" w:rsidR="00A75B58" w:rsidRDefault="00A75B58" w:rsidP="00A75B58">
      <w:pPr>
        <w:pStyle w:val="ListParagraph"/>
        <w:widowControl w:val="0"/>
        <w:ind w:left="0"/>
        <w:contextualSpacing w:val="0"/>
        <w:jc w:val="both"/>
        <w:rPr>
          <w:b/>
          <w:u w:val="single"/>
        </w:rPr>
      </w:pPr>
      <w:r>
        <w:lastRenderedPageBreak/>
        <w:t xml:space="preserve">                    </w:t>
      </w:r>
      <w:r w:rsidRPr="00A75B58">
        <w:rPr>
          <w:b/>
          <w:u w:val="single"/>
        </w:rPr>
        <w:t>Table</w:t>
      </w:r>
      <w:r w:rsidR="001A4928">
        <w:rPr>
          <w:b/>
          <w:u w:val="single"/>
        </w:rPr>
        <w:t xml:space="preserve"> 4</w:t>
      </w:r>
      <w:r w:rsidRPr="00A75B58">
        <w:rPr>
          <w:b/>
          <w:u w:val="single"/>
        </w:rPr>
        <w:t xml:space="preserve">: </w:t>
      </w:r>
      <w:r w:rsidR="00D05F7E">
        <w:rPr>
          <w:b/>
          <w:u w:val="single"/>
        </w:rPr>
        <w:t xml:space="preserve"> </w:t>
      </w:r>
      <w:proofErr w:type="spellStart"/>
      <w:r w:rsidRPr="00A75B58">
        <w:rPr>
          <w:b/>
          <w:u w:val="single"/>
        </w:rPr>
        <w:t>Nambawan</w:t>
      </w:r>
      <w:proofErr w:type="spellEnd"/>
      <w:r w:rsidRPr="00A75B58">
        <w:rPr>
          <w:b/>
          <w:u w:val="single"/>
        </w:rPr>
        <w:t xml:space="preserve"> Fund Investment Guidelines</w:t>
      </w:r>
      <w:r w:rsidR="00FB02E9">
        <w:rPr>
          <w:b/>
          <w:u w:val="single"/>
        </w:rPr>
        <w:t xml:space="preserve"> (Dec 2014)</w:t>
      </w:r>
    </w:p>
    <w:p w14:paraId="3E664A4B" w14:textId="77777777" w:rsidR="00D05F7E" w:rsidRDefault="00D05F7E" w:rsidP="00A75B58">
      <w:pPr>
        <w:pStyle w:val="ListParagraph"/>
        <w:widowControl w:val="0"/>
        <w:ind w:left="0"/>
        <w:contextualSpacing w:val="0"/>
        <w:jc w:val="both"/>
        <w:rPr>
          <w:b/>
          <w:u w:val="single"/>
        </w:rPr>
      </w:pPr>
    </w:p>
    <w:tbl>
      <w:tblPr>
        <w:tblW w:w="6238" w:type="dxa"/>
        <w:jc w:val="center"/>
        <w:tblInd w:w="538" w:type="dxa"/>
        <w:tblLook w:val="04A0" w:firstRow="1" w:lastRow="0" w:firstColumn="1" w:lastColumn="0" w:noHBand="0" w:noVBand="1"/>
      </w:tblPr>
      <w:tblGrid>
        <w:gridCol w:w="1902"/>
        <w:gridCol w:w="1140"/>
        <w:gridCol w:w="760"/>
        <w:gridCol w:w="720"/>
        <w:gridCol w:w="800"/>
        <w:gridCol w:w="916"/>
      </w:tblGrid>
      <w:tr w:rsidR="00D05F7E" w:rsidRPr="00D05F7E" w14:paraId="39A9C963" w14:textId="77777777" w:rsidTr="00280311">
        <w:trPr>
          <w:trHeight w:val="300"/>
          <w:jc w:val="center"/>
        </w:trPr>
        <w:tc>
          <w:tcPr>
            <w:tcW w:w="1902" w:type="dxa"/>
            <w:tcBorders>
              <w:top w:val="single" w:sz="8" w:space="0" w:color="auto"/>
              <w:left w:val="single" w:sz="8" w:space="0" w:color="auto"/>
              <w:bottom w:val="single" w:sz="4" w:space="0" w:color="auto"/>
              <w:right w:val="nil"/>
            </w:tcBorders>
            <w:shd w:val="clear" w:color="auto" w:fill="auto"/>
            <w:noWrap/>
            <w:vAlign w:val="bottom"/>
            <w:hideMark/>
          </w:tcPr>
          <w:p w14:paraId="753CE933" w14:textId="77777777" w:rsidR="00D05F7E" w:rsidRPr="00D05F7E" w:rsidRDefault="00D05F7E" w:rsidP="00D05F7E">
            <w:pP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 </w:t>
            </w:r>
          </w:p>
        </w:tc>
        <w:tc>
          <w:tcPr>
            <w:tcW w:w="1140" w:type="dxa"/>
            <w:tcBorders>
              <w:top w:val="single" w:sz="8" w:space="0" w:color="auto"/>
              <w:left w:val="nil"/>
              <w:bottom w:val="single" w:sz="4" w:space="0" w:color="auto"/>
              <w:right w:val="nil"/>
            </w:tcBorders>
            <w:shd w:val="clear" w:color="auto" w:fill="auto"/>
            <w:noWrap/>
            <w:vAlign w:val="bottom"/>
            <w:hideMark/>
          </w:tcPr>
          <w:p w14:paraId="3CCB2E15" w14:textId="77777777" w:rsidR="00D05F7E" w:rsidRPr="00D05F7E" w:rsidRDefault="00D05F7E" w:rsidP="00D05F7E">
            <w:pP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 </w:t>
            </w:r>
          </w:p>
        </w:tc>
        <w:tc>
          <w:tcPr>
            <w:tcW w:w="760" w:type="dxa"/>
            <w:tcBorders>
              <w:top w:val="single" w:sz="8" w:space="0" w:color="auto"/>
              <w:left w:val="nil"/>
              <w:bottom w:val="single" w:sz="4" w:space="0" w:color="auto"/>
              <w:right w:val="nil"/>
            </w:tcBorders>
            <w:shd w:val="clear" w:color="auto" w:fill="auto"/>
            <w:noWrap/>
            <w:vAlign w:val="bottom"/>
            <w:hideMark/>
          </w:tcPr>
          <w:p w14:paraId="59B3AC7A"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Min</w:t>
            </w:r>
          </w:p>
        </w:tc>
        <w:tc>
          <w:tcPr>
            <w:tcW w:w="720" w:type="dxa"/>
            <w:tcBorders>
              <w:top w:val="single" w:sz="8" w:space="0" w:color="auto"/>
              <w:left w:val="nil"/>
              <w:bottom w:val="single" w:sz="4" w:space="0" w:color="auto"/>
              <w:right w:val="nil"/>
            </w:tcBorders>
            <w:shd w:val="clear" w:color="auto" w:fill="auto"/>
            <w:noWrap/>
            <w:vAlign w:val="bottom"/>
            <w:hideMark/>
          </w:tcPr>
          <w:p w14:paraId="5CEC9DC9"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Max</w:t>
            </w:r>
          </w:p>
        </w:tc>
        <w:tc>
          <w:tcPr>
            <w:tcW w:w="800" w:type="dxa"/>
            <w:tcBorders>
              <w:top w:val="single" w:sz="8" w:space="0" w:color="auto"/>
              <w:left w:val="nil"/>
              <w:bottom w:val="single" w:sz="4" w:space="0" w:color="auto"/>
              <w:right w:val="nil"/>
            </w:tcBorders>
            <w:shd w:val="clear" w:color="auto" w:fill="auto"/>
            <w:noWrap/>
            <w:vAlign w:val="bottom"/>
            <w:hideMark/>
          </w:tcPr>
          <w:p w14:paraId="7C6DFD36"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Target</w:t>
            </w:r>
          </w:p>
        </w:tc>
        <w:tc>
          <w:tcPr>
            <w:tcW w:w="916" w:type="dxa"/>
            <w:tcBorders>
              <w:top w:val="single" w:sz="8" w:space="0" w:color="auto"/>
              <w:left w:val="nil"/>
              <w:bottom w:val="single" w:sz="4" w:space="0" w:color="auto"/>
              <w:right w:val="single" w:sz="8" w:space="0" w:color="auto"/>
            </w:tcBorders>
            <w:shd w:val="clear" w:color="auto" w:fill="auto"/>
            <w:noWrap/>
            <w:vAlign w:val="bottom"/>
            <w:hideMark/>
          </w:tcPr>
          <w:p w14:paraId="2297EE9D"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Current</w:t>
            </w:r>
          </w:p>
        </w:tc>
      </w:tr>
      <w:tr w:rsidR="00D05F7E" w:rsidRPr="00D05F7E" w14:paraId="756EC1A9" w14:textId="77777777" w:rsidTr="00280311">
        <w:trPr>
          <w:trHeight w:val="320"/>
          <w:jc w:val="center"/>
        </w:trPr>
        <w:tc>
          <w:tcPr>
            <w:tcW w:w="1902" w:type="dxa"/>
            <w:tcBorders>
              <w:top w:val="nil"/>
              <w:left w:val="single" w:sz="8" w:space="0" w:color="auto"/>
              <w:bottom w:val="nil"/>
              <w:right w:val="nil"/>
            </w:tcBorders>
            <w:shd w:val="clear" w:color="000000" w:fill="FFFFFF"/>
            <w:noWrap/>
            <w:vAlign w:val="center"/>
            <w:hideMark/>
          </w:tcPr>
          <w:p w14:paraId="419FB853" w14:textId="77777777" w:rsidR="00D05F7E" w:rsidRPr="00D05F7E" w:rsidRDefault="00D05F7E" w:rsidP="00D05F7E">
            <w:pP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Cash at Banks</w:t>
            </w:r>
          </w:p>
        </w:tc>
        <w:tc>
          <w:tcPr>
            <w:tcW w:w="1140" w:type="dxa"/>
            <w:tcBorders>
              <w:top w:val="nil"/>
              <w:left w:val="nil"/>
              <w:bottom w:val="nil"/>
              <w:right w:val="nil"/>
            </w:tcBorders>
            <w:shd w:val="clear" w:color="auto" w:fill="auto"/>
            <w:noWrap/>
            <w:vAlign w:val="center"/>
            <w:hideMark/>
          </w:tcPr>
          <w:p w14:paraId="276F2E6E" w14:textId="77777777" w:rsidR="00D05F7E" w:rsidRPr="00D05F7E" w:rsidRDefault="00D05F7E" w:rsidP="00D05F7E">
            <w:pPr>
              <w:rPr>
                <w:rFonts w:eastAsia="Times New Roman" w:cs="Times New Roman"/>
                <w:b/>
                <w:color w:val="000000"/>
                <w:sz w:val="20"/>
                <w:szCs w:val="20"/>
                <w:lang w:eastAsia="en-US"/>
              </w:rPr>
            </w:pPr>
          </w:p>
        </w:tc>
        <w:tc>
          <w:tcPr>
            <w:tcW w:w="760" w:type="dxa"/>
            <w:tcBorders>
              <w:top w:val="nil"/>
              <w:left w:val="nil"/>
              <w:bottom w:val="nil"/>
              <w:right w:val="nil"/>
            </w:tcBorders>
            <w:shd w:val="clear" w:color="000000" w:fill="FFFFFF"/>
            <w:noWrap/>
            <w:vAlign w:val="center"/>
            <w:hideMark/>
          </w:tcPr>
          <w:p w14:paraId="6F55097A"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0.0</w:t>
            </w:r>
          </w:p>
        </w:tc>
        <w:tc>
          <w:tcPr>
            <w:tcW w:w="720" w:type="dxa"/>
            <w:tcBorders>
              <w:top w:val="nil"/>
              <w:left w:val="nil"/>
              <w:bottom w:val="nil"/>
              <w:right w:val="nil"/>
            </w:tcBorders>
            <w:shd w:val="clear" w:color="000000" w:fill="FFFFFF"/>
            <w:noWrap/>
            <w:vAlign w:val="center"/>
            <w:hideMark/>
          </w:tcPr>
          <w:p w14:paraId="2C596D28"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5.5</w:t>
            </w:r>
          </w:p>
        </w:tc>
        <w:tc>
          <w:tcPr>
            <w:tcW w:w="800" w:type="dxa"/>
            <w:tcBorders>
              <w:top w:val="nil"/>
              <w:left w:val="nil"/>
              <w:bottom w:val="nil"/>
              <w:right w:val="nil"/>
            </w:tcBorders>
            <w:shd w:val="clear" w:color="000000" w:fill="FFFFFF"/>
            <w:noWrap/>
            <w:vAlign w:val="center"/>
            <w:hideMark/>
          </w:tcPr>
          <w:p w14:paraId="7DBD574B"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3%</w:t>
            </w:r>
          </w:p>
        </w:tc>
        <w:tc>
          <w:tcPr>
            <w:tcW w:w="916" w:type="dxa"/>
            <w:tcBorders>
              <w:top w:val="nil"/>
              <w:left w:val="nil"/>
              <w:bottom w:val="nil"/>
              <w:right w:val="single" w:sz="8" w:space="0" w:color="auto"/>
            </w:tcBorders>
            <w:shd w:val="clear" w:color="000000" w:fill="FFFFFF"/>
            <w:noWrap/>
            <w:vAlign w:val="center"/>
            <w:hideMark/>
          </w:tcPr>
          <w:p w14:paraId="63CAC830"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2%</w:t>
            </w:r>
          </w:p>
        </w:tc>
      </w:tr>
      <w:tr w:rsidR="00D05F7E" w:rsidRPr="00D05F7E" w14:paraId="04660248" w14:textId="77777777" w:rsidTr="00280311">
        <w:trPr>
          <w:trHeight w:val="300"/>
          <w:jc w:val="center"/>
        </w:trPr>
        <w:tc>
          <w:tcPr>
            <w:tcW w:w="1902" w:type="dxa"/>
            <w:tcBorders>
              <w:top w:val="nil"/>
              <w:left w:val="single" w:sz="8" w:space="0" w:color="auto"/>
              <w:bottom w:val="nil"/>
              <w:right w:val="nil"/>
            </w:tcBorders>
            <w:shd w:val="clear" w:color="000000" w:fill="FFFFFF"/>
            <w:noWrap/>
            <w:vAlign w:val="center"/>
            <w:hideMark/>
          </w:tcPr>
          <w:p w14:paraId="350863A3" w14:textId="77777777" w:rsidR="00D05F7E" w:rsidRPr="00D05F7E" w:rsidRDefault="00D05F7E" w:rsidP="00D05F7E">
            <w:pP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 xml:space="preserve">Fixed Interest </w:t>
            </w:r>
          </w:p>
        </w:tc>
        <w:tc>
          <w:tcPr>
            <w:tcW w:w="1140" w:type="dxa"/>
            <w:tcBorders>
              <w:top w:val="nil"/>
              <w:left w:val="nil"/>
              <w:bottom w:val="nil"/>
              <w:right w:val="nil"/>
            </w:tcBorders>
            <w:shd w:val="clear" w:color="auto" w:fill="auto"/>
            <w:noWrap/>
            <w:vAlign w:val="center"/>
            <w:hideMark/>
          </w:tcPr>
          <w:p w14:paraId="1DE325C8" w14:textId="77777777" w:rsidR="00D05F7E" w:rsidRPr="00D05F7E" w:rsidRDefault="00D05F7E" w:rsidP="00D05F7E">
            <w:pPr>
              <w:rPr>
                <w:rFonts w:eastAsia="Times New Roman" w:cs="Times New Roman"/>
                <w:b/>
                <w:color w:val="000000"/>
                <w:sz w:val="20"/>
                <w:szCs w:val="20"/>
                <w:lang w:eastAsia="en-US"/>
              </w:rPr>
            </w:pPr>
          </w:p>
        </w:tc>
        <w:tc>
          <w:tcPr>
            <w:tcW w:w="760" w:type="dxa"/>
            <w:tcBorders>
              <w:top w:val="nil"/>
              <w:left w:val="nil"/>
              <w:bottom w:val="nil"/>
              <w:right w:val="nil"/>
            </w:tcBorders>
            <w:shd w:val="clear" w:color="000000" w:fill="FFFFFF"/>
            <w:noWrap/>
            <w:vAlign w:val="center"/>
            <w:hideMark/>
          </w:tcPr>
          <w:p w14:paraId="2E2D1AA9"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33.5</w:t>
            </w:r>
          </w:p>
        </w:tc>
        <w:tc>
          <w:tcPr>
            <w:tcW w:w="720" w:type="dxa"/>
            <w:tcBorders>
              <w:top w:val="nil"/>
              <w:left w:val="nil"/>
              <w:bottom w:val="nil"/>
              <w:right w:val="nil"/>
            </w:tcBorders>
            <w:shd w:val="clear" w:color="000000" w:fill="FFFFFF"/>
            <w:noWrap/>
            <w:vAlign w:val="center"/>
            <w:hideMark/>
          </w:tcPr>
          <w:p w14:paraId="1364974B"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38.5</w:t>
            </w:r>
          </w:p>
        </w:tc>
        <w:tc>
          <w:tcPr>
            <w:tcW w:w="800" w:type="dxa"/>
            <w:tcBorders>
              <w:top w:val="nil"/>
              <w:left w:val="nil"/>
              <w:bottom w:val="nil"/>
              <w:right w:val="nil"/>
            </w:tcBorders>
            <w:shd w:val="clear" w:color="000000" w:fill="FFFFFF"/>
            <w:noWrap/>
            <w:vAlign w:val="center"/>
            <w:hideMark/>
          </w:tcPr>
          <w:p w14:paraId="150CE02E"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36%</w:t>
            </w:r>
          </w:p>
        </w:tc>
        <w:tc>
          <w:tcPr>
            <w:tcW w:w="916" w:type="dxa"/>
            <w:tcBorders>
              <w:top w:val="nil"/>
              <w:left w:val="nil"/>
              <w:bottom w:val="nil"/>
              <w:right w:val="single" w:sz="8" w:space="0" w:color="auto"/>
            </w:tcBorders>
            <w:shd w:val="clear" w:color="000000" w:fill="FFFFFF"/>
            <w:noWrap/>
            <w:vAlign w:val="center"/>
            <w:hideMark/>
          </w:tcPr>
          <w:p w14:paraId="2A010693"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33%</w:t>
            </w:r>
          </w:p>
        </w:tc>
      </w:tr>
      <w:tr w:rsidR="00D05F7E" w:rsidRPr="00D05F7E" w14:paraId="086BB3CC" w14:textId="77777777" w:rsidTr="00280311">
        <w:trPr>
          <w:trHeight w:val="300"/>
          <w:jc w:val="center"/>
        </w:trPr>
        <w:tc>
          <w:tcPr>
            <w:tcW w:w="1902" w:type="dxa"/>
            <w:tcBorders>
              <w:top w:val="nil"/>
              <w:left w:val="single" w:sz="8" w:space="0" w:color="auto"/>
              <w:bottom w:val="nil"/>
              <w:right w:val="nil"/>
            </w:tcBorders>
            <w:shd w:val="clear" w:color="000000" w:fill="FFFFFF"/>
            <w:noWrap/>
            <w:vAlign w:val="center"/>
            <w:hideMark/>
          </w:tcPr>
          <w:p w14:paraId="58724591" w14:textId="77777777" w:rsidR="00D05F7E" w:rsidRPr="00D05F7E" w:rsidRDefault="00D05F7E" w:rsidP="00D05F7E">
            <w:pP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Unlisted Equities - Domestic</w:t>
            </w:r>
          </w:p>
        </w:tc>
        <w:tc>
          <w:tcPr>
            <w:tcW w:w="1140" w:type="dxa"/>
            <w:tcBorders>
              <w:top w:val="nil"/>
              <w:left w:val="nil"/>
              <w:bottom w:val="nil"/>
              <w:right w:val="nil"/>
            </w:tcBorders>
            <w:shd w:val="clear" w:color="auto" w:fill="auto"/>
            <w:noWrap/>
            <w:vAlign w:val="center"/>
            <w:hideMark/>
          </w:tcPr>
          <w:p w14:paraId="32E3BB78" w14:textId="77777777" w:rsidR="00D05F7E" w:rsidRPr="00D05F7E" w:rsidRDefault="00D05F7E" w:rsidP="00D05F7E">
            <w:pPr>
              <w:rPr>
                <w:rFonts w:eastAsia="Times New Roman" w:cs="Times New Roman"/>
                <w:b/>
                <w:color w:val="000000"/>
                <w:sz w:val="20"/>
                <w:szCs w:val="20"/>
                <w:lang w:eastAsia="en-US"/>
              </w:rPr>
            </w:pPr>
          </w:p>
        </w:tc>
        <w:tc>
          <w:tcPr>
            <w:tcW w:w="760" w:type="dxa"/>
            <w:tcBorders>
              <w:top w:val="nil"/>
              <w:left w:val="nil"/>
              <w:bottom w:val="nil"/>
              <w:right w:val="nil"/>
            </w:tcBorders>
            <w:shd w:val="clear" w:color="000000" w:fill="FFFFFF"/>
            <w:noWrap/>
            <w:vAlign w:val="center"/>
            <w:hideMark/>
          </w:tcPr>
          <w:p w14:paraId="659BC4BB"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13.5</w:t>
            </w:r>
          </w:p>
        </w:tc>
        <w:tc>
          <w:tcPr>
            <w:tcW w:w="720" w:type="dxa"/>
            <w:tcBorders>
              <w:top w:val="nil"/>
              <w:left w:val="nil"/>
              <w:bottom w:val="nil"/>
              <w:right w:val="nil"/>
            </w:tcBorders>
            <w:shd w:val="clear" w:color="000000" w:fill="FFFFFF"/>
            <w:noWrap/>
            <w:vAlign w:val="center"/>
            <w:hideMark/>
          </w:tcPr>
          <w:p w14:paraId="23D7277B"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18.5</w:t>
            </w:r>
          </w:p>
        </w:tc>
        <w:tc>
          <w:tcPr>
            <w:tcW w:w="800" w:type="dxa"/>
            <w:tcBorders>
              <w:top w:val="nil"/>
              <w:left w:val="nil"/>
              <w:bottom w:val="nil"/>
              <w:right w:val="nil"/>
            </w:tcBorders>
            <w:shd w:val="clear" w:color="000000" w:fill="FFFFFF"/>
            <w:noWrap/>
            <w:vAlign w:val="center"/>
            <w:hideMark/>
          </w:tcPr>
          <w:p w14:paraId="10126298"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16%</w:t>
            </w:r>
          </w:p>
        </w:tc>
        <w:tc>
          <w:tcPr>
            <w:tcW w:w="916" w:type="dxa"/>
            <w:tcBorders>
              <w:top w:val="nil"/>
              <w:left w:val="nil"/>
              <w:bottom w:val="nil"/>
              <w:right w:val="single" w:sz="8" w:space="0" w:color="auto"/>
            </w:tcBorders>
            <w:shd w:val="clear" w:color="000000" w:fill="FFFFFF"/>
            <w:noWrap/>
            <w:vAlign w:val="center"/>
            <w:hideMark/>
          </w:tcPr>
          <w:p w14:paraId="2C5D0A95"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27%</w:t>
            </w:r>
          </w:p>
        </w:tc>
      </w:tr>
      <w:tr w:rsidR="00D05F7E" w:rsidRPr="00D05F7E" w14:paraId="3336338E" w14:textId="77777777" w:rsidTr="00280311">
        <w:trPr>
          <w:trHeight w:val="300"/>
          <w:jc w:val="center"/>
        </w:trPr>
        <w:tc>
          <w:tcPr>
            <w:tcW w:w="1902" w:type="dxa"/>
            <w:tcBorders>
              <w:top w:val="nil"/>
              <w:left w:val="single" w:sz="8" w:space="0" w:color="auto"/>
              <w:bottom w:val="nil"/>
              <w:right w:val="nil"/>
            </w:tcBorders>
            <w:shd w:val="clear" w:color="000000" w:fill="FFFFFF"/>
            <w:noWrap/>
            <w:vAlign w:val="center"/>
            <w:hideMark/>
          </w:tcPr>
          <w:p w14:paraId="26DD5F65" w14:textId="77777777" w:rsidR="00D05F7E" w:rsidRPr="00D05F7E" w:rsidRDefault="00D05F7E" w:rsidP="00D05F7E">
            <w:pP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Listed Equities - Domestic</w:t>
            </w:r>
          </w:p>
        </w:tc>
        <w:tc>
          <w:tcPr>
            <w:tcW w:w="1140" w:type="dxa"/>
            <w:tcBorders>
              <w:top w:val="nil"/>
              <w:left w:val="nil"/>
              <w:bottom w:val="nil"/>
              <w:right w:val="nil"/>
            </w:tcBorders>
            <w:shd w:val="clear" w:color="auto" w:fill="auto"/>
            <w:noWrap/>
            <w:vAlign w:val="center"/>
            <w:hideMark/>
          </w:tcPr>
          <w:p w14:paraId="15A167B5" w14:textId="77777777" w:rsidR="00D05F7E" w:rsidRPr="00D05F7E" w:rsidRDefault="00D05F7E" w:rsidP="00D05F7E">
            <w:pPr>
              <w:rPr>
                <w:rFonts w:eastAsia="Times New Roman" w:cs="Times New Roman"/>
                <w:b/>
                <w:color w:val="000000"/>
                <w:sz w:val="20"/>
                <w:szCs w:val="20"/>
                <w:lang w:eastAsia="en-US"/>
              </w:rPr>
            </w:pPr>
          </w:p>
        </w:tc>
        <w:tc>
          <w:tcPr>
            <w:tcW w:w="760" w:type="dxa"/>
            <w:tcBorders>
              <w:top w:val="nil"/>
              <w:left w:val="nil"/>
              <w:bottom w:val="nil"/>
              <w:right w:val="nil"/>
            </w:tcBorders>
            <w:shd w:val="clear" w:color="000000" w:fill="FFFFFF"/>
            <w:noWrap/>
            <w:vAlign w:val="center"/>
            <w:hideMark/>
          </w:tcPr>
          <w:p w14:paraId="6C143F34"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9.5</w:t>
            </w:r>
          </w:p>
        </w:tc>
        <w:tc>
          <w:tcPr>
            <w:tcW w:w="720" w:type="dxa"/>
            <w:tcBorders>
              <w:top w:val="nil"/>
              <w:left w:val="nil"/>
              <w:bottom w:val="nil"/>
              <w:right w:val="nil"/>
            </w:tcBorders>
            <w:shd w:val="clear" w:color="000000" w:fill="FFFFFF"/>
            <w:noWrap/>
            <w:vAlign w:val="center"/>
            <w:hideMark/>
          </w:tcPr>
          <w:p w14:paraId="5FC98D6C"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14.5</w:t>
            </w:r>
          </w:p>
        </w:tc>
        <w:tc>
          <w:tcPr>
            <w:tcW w:w="800" w:type="dxa"/>
            <w:tcBorders>
              <w:top w:val="nil"/>
              <w:left w:val="nil"/>
              <w:bottom w:val="nil"/>
              <w:right w:val="nil"/>
            </w:tcBorders>
            <w:shd w:val="clear" w:color="000000" w:fill="FFFFFF"/>
            <w:noWrap/>
            <w:vAlign w:val="center"/>
            <w:hideMark/>
          </w:tcPr>
          <w:p w14:paraId="524358DA"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12%</w:t>
            </w:r>
          </w:p>
        </w:tc>
        <w:tc>
          <w:tcPr>
            <w:tcW w:w="916" w:type="dxa"/>
            <w:tcBorders>
              <w:top w:val="nil"/>
              <w:left w:val="nil"/>
              <w:bottom w:val="nil"/>
              <w:right w:val="single" w:sz="8" w:space="0" w:color="auto"/>
            </w:tcBorders>
            <w:shd w:val="clear" w:color="000000" w:fill="FFFFFF"/>
            <w:noWrap/>
            <w:vAlign w:val="center"/>
            <w:hideMark/>
          </w:tcPr>
          <w:p w14:paraId="7CB47D41"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14%</w:t>
            </w:r>
          </w:p>
        </w:tc>
      </w:tr>
      <w:tr w:rsidR="00D05F7E" w:rsidRPr="00D05F7E" w14:paraId="785C5080" w14:textId="77777777" w:rsidTr="00280311">
        <w:trPr>
          <w:trHeight w:val="300"/>
          <w:jc w:val="center"/>
        </w:trPr>
        <w:tc>
          <w:tcPr>
            <w:tcW w:w="1902" w:type="dxa"/>
            <w:tcBorders>
              <w:top w:val="nil"/>
              <w:left w:val="single" w:sz="8" w:space="0" w:color="auto"/>
              <w:bottom w:val="nil"/>
              <w:right w:val="nil"/>
            </w:tcBorders>
            <w:shd w:val="clear" w:color="000000" w:fill="FFFFFF"/>
            <w:noWrap/>
            <w:vAlign w:val="center"/>
            <w:hideMark/>
          </w:tcPr>
          <w:p w14:paraId="41649BB0" w14:textId="77777777" w:rsidR="00D05F7E" w:rsidRPr="00D05F7E" w:rsidRDefault="00D05F7E" w:rsidP="00D05F7E">
            <w:pP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Equities - International</w:t>
            </w:r>
          </w:p>
        </w:tc>
        <w:tc>
          <w:tcPr>
            <w:tcW w:w="1140" w:type="dxa"/>
            <w:tcBorders>
              <w:top w:val="nil"/>
              <w:left w:val="nil"/>
              <w:bottom w:val="nil"/>
              <w:right w:val="nil"/>
            </w:tcBorders>
            <w:shd w:val="clear" w:color="auto" w:fill="auto"/>
            <w:noWrap/>
            <w:vAlign w:val="center"/>
            <w:hideMark/>
          </w:tcPr>
          <w:p w14:paraId="4BB58541" w14:textId="77777777" w:rsidR="00D05F7E" w:rsidRPr="00D05F7E" w:rsidRDefault="00D05F7E" w:rsidP="00D05F7E">
            <w:pPr>
              <w:rPr>
                <w:rFonts w:eastAsia="Times New Roman" w:cs="Times New Roman"/>
                <w:b/>
                <w:color w:val="000000"/>
                <w:sz w:val="20"/>
                <w:szCs w:val="20"/>
                <w:lang w:eastAsia="en-US"/>
              </w:rPr>
            </w:pPr>
          </w:p>
        </w:tc>
        <w:tc>
          <w:tcPr>
            <w:tcW w:w="760" w:type="dxa"/>
            <w:tcBorders>
              <w:top w:val="nil"/>
              <w:left w:val="nil"/>
              <w:bottom w:val="nil"/>
              <w:right w:val="nil"/>
            </w:tcBorders>
            <w:shd w:val="clear" w:color="000000" w:fill="FFFFFF"/>
            <w:noWrap/>
            <w:vAlign w:val="center"/>
            <w:hideMark/>
          </w:tcPr>
          <w:p w14:paraId="0DC5F20C"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4.0</w:t>
            </w:r>
          </w:p>
        </w:tc>
        <w:tc>
          <w:tcPr>
            <w:tcW w:w="720" w:type="dxa"/>
            <w:tcBorders>
              <w:top w:val="nil"/>
              <w:left w:val="nil"/>
              <w:bottom w:val="nil"/>
              <w:right w:val="nil"/>
            </w:tcBorders>
            <w:shd w:val="clear" w:color="000000" w:fill="FFFFFF"/>
            <w:noWrap/>
            <w:vAlign w:val="center"/>
            <w:hideMark/>
          </w:tcPr>
          <w:p w14:paraId="7DE36B41"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14.5</w:t>
            </w:r>
          </w:p>
        </w:tc>
        <w:tc>
          <w:tcPr>
            <w:tcW w:w="800" w:type="dxa"/>
            <w:tcBorders>
              <w:top w:val="nil"/>
              <w:left w:val="nil"/>
              <w:bottom w:val="nil"/>
              <w:right w:val="nil"/>
            </w:tcBorders>
            <w:shd w:val="clear" w:color="000000" w:fill="FFFFFF"/>
            <w:noWrap/>
            <w:vAlign w:val="center"/>
            <w:hideMark/>
          </w:tcPr>
          <w:p w14:paraId="1896A5F6"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17%</w:t>
            </w:r>
          </w:p>
        </w:tc>
        <w:tc>
          <w:tcPr>
            <w:tcW w:w="916" w:type="dxa"/>
            <w:tcBorders>
              <w:top w:val="nil"/>
              <w:left w:val="nil"/>
              <w:bottom w:val="nil"/>
              <w:right w:val="single" w:sz="8" w:space="0" w:color="auto"/>
            </w:tcBorders>
            <w:shd w:val="clear" w:color="000000" w:fill="FFFFFF"/>
            <w:noWrap/>
            <w:vAlign w:val="center"/>
            <w:hideMark/>
          </w:tcPr>
          <w:p w14:paraId="66697FE5"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14%</w:t>
            </w:r>
          </w:p>
        </w:tc>
      </w:tr>
      <w:tr w:rsidR="00D05F7E" w:rsidRPr="00D05F7E" w14:paraId="77029981" w14:textId="77777777" w:rsidTr="00280311">
        <w:trPr>
          <w:trHeight w:val="300"/>
          <w:jc w:val="center"/>
        </w:trPr>
        <w:tc>
          <w:tcPr>
            <w:tcW w:w="1902" w:type="dxa"/>
            <w:tcBorders>
              <w:top w:val="nil"/>
              <w:left w:val="single" w:sz="8" w:space="0" w:color="auto"/>
              <w:bottom w:val="single" w:sz="4" w:space="0" w:color="auto"/>
              <w:right w:val="nil"/>
            </w:tcBorders>
            <w:shd w:val="clear" w:color="000000" w:fill="FFFFFF"/>
            <w:noWrap/>
            <w:vAlign w:val="center"/>
            <w:hideMark/>
          </w:tcPr>
          <w:p w14:paraId="08893650" w14:textId="77777777" w:rsidR="00D05F7E" w:rsidRPr="00D05F7E" w:rsidRDefault="00D05F7E" w:rsidP="00D05F7E">
            <w:pP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Property</w:t>
            </w:r>
          </w:p>
        </w:tc>
        <w:tc>
          <w:tcPr>
            <w:tcW w:w="1140" w:type="dxa"/>
            <w:tcBorders>
              <w:top w:val="nil"/>
              <w:left w:val="nil"/>
              <w:bottom w:val="single" w:sz="4" w:space="0" w:color="auto"/>
              <w:right w:val="nil"/>
            </w:tcBorders>
            <w:shd w:val="clear" w:color="auto" w:fill="auto"/>
            <w:noWrap/>
            <w:vAlign w:val="center"/>
            <w:hideMark/>
          </w:tcPr>
          <w:p w14:paraId="12F55FA0" w14:textId="77777777" w:rsidR="00D05F7E" w:rsidRPr="00D05F7E" w:rsidRDefault="00D05F7E" w:rsidP="00D05F7E">
            <w:pP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 </w:t>
            </w:r>
          </w:p>
        </w:tc>
        <w:tc>
          <w:tcPr>
            <w:tcW w:w="760" w:type="dxa"/>
            <w:tcBorders>
              <w:top w:val="nil"/>
              <w:left w:val="nil"/>
              <w:bottom w:val="nil"/>
              <w:right w:val="nil"/>
            </w:tcBorders>
            <w:shd w:val="clear" w:color="000000" w:fill="FFFFFF"/>
            <w:noWrap/>
            <w:vAlign w:val="center"/>
            <w:hideMark/>
          </w:tcPr>
          <w:p w14:paraId="6A623851"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13.5</w:t>
            </w:r>
          </w:p>
        </w:tc>
        <w:tc>
          <w:tcPr>
            <w:tcW w:w="720" w:type="dxa"/>
            <w:tcBorders>
              <w:top w:val="nil"/>
              <w:left w:val="nil"/>
              <w:bottom w:val="nil"/>
              <w:right w:val="nil"/>
            </w:tcBorders>
            <w:shd w:val="clear" w:color="000000" w:fill="FFFFFF"/>
            <w:noWrap/>
            <w:vAlign w:val="center"/>
            <w:hideMark/>
          </w:tcPr>
          <w:p w14:paraId="5517684C"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21.0</w:t>
            </w:r>
          </w:p>
        </w:tc>
        <w:tc>
          <w:tcPr>
            <w:tcW w:w="800" w:type="dxa"/>
            <w:tcBorders>
              <w:top w:val="nil"/>
              <w:left w:val="nil"/>
              <w:bottom w:val="single" w:sz="4" w:space="0" w:color="auto"/>
              <w:right w:val="nil"/>
            </w:tcBorders>
            <w:shd w:val="clear" w:color="000000" w:fill="FFFFFF"/>
            <w:noWrap/>
            <w:vAlign w:val="center"/>
            <w:hideMark/>
          </w:tcPr>
          <w:p w14:paraId="7E090286"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16%</w:t>
            </w:r>
          </w:p>
        </w:tc>
        <w:tc>
          <w:tcPr>
            <w:tcW w:w="916" w:type="dxa"/>
            <w:tcBorders>
              <w:top w:val="nil"/>
              <w:left w:val="nil"/>
              <w:bottom w:val="single" w:sz="4" w:space="0" w:color="auto"/>
              <w:right w:val="single" w:sz="8" w:space="0" w:color="auto"/>
            </w:tcBorders>
            <w:shd w:val="clear" w:color="000000" w:fill="FFFFFF"/>
            <w:noWrap/>
            <w:vAlign w:val="center"/>
            <w:hideMark/>
          </w:tcPr>
          <w:p w14:paraId="3AB2C37E" w14:textId="77777777" w:rsidR="00D05F7E" w:rsidRPr="00D05F7E" w:rsidRDefault="00D05F7E" w:rsidP="00D05F7E">
            <w:pPr>
              <w:jc w:val="center"/>
              <w:rPr>
                <w:rFonts w:eastAsia="Times New Roman" w:cs="Times New Roman"/>
                <w:b/>
                <w:color w:val="000000"/>
                <w:sz w:val="20"/>
                <w:szCs w:val="20"/>
                <w:lang w:eastAsia="en-US"/>
              </w:rPr>
            </w:pPr>
            <w:r w:rsidRPr="00D05F7E">
              <w:rPr>
                <w:rFonts w:eastAsia="Times New Roman" w:cs="Times New Roman"/>
                <w:b/>
                <w:color w:val="000000"/>
                <w:sz w:val="20"/>
                <w:szCs w:val="20"/>
                <w:lang w:eastAsia="en-US"/>
              </w:rPr>
              <w:t>11%</w:t>
            </w:r>
          </w:p>
        </w:tc>
      </w:tr>
      <w:tr w:rsidR="00D05F7E" w:rsidRPr="00D05F7E" w14:paraId="727AA686" w14:textId="77777777" w:rsidTr="00280311">
        <w:trPr>
          <w:trHeight w:val="320"/>
          <w:jc w:val="center"/>
        </w:trPr>
        <w:tc>
          <w:tcPr>
            <w:tcW w:w="3042" w:type="dxa"/>
            <w:gridSpan w:val="2"/>
            <w:tcBorders>
              <w:top w:val="single" w:sz="4" w:space="0" w:color="auto"/>
              <w:left w:val="single" w:sz="8" w:space="0" w:color="auto"/>
              <w:bottom w:val="single" w:sz="8" w:space="0" w:color="auto"/>
              <w:right w:val="nil"/>
            </w:tcBorders>
            <w:shd w:val="clear" w:color="000000" w:fill="FFFFFF"/>
            <w:noWrap/>
            <w:vAlign w:val="center"/>
            <w:hideMark/>
          </w:tcPr>
          <w:p w14:paraId="39C7D6CF" w14:textId="77777777" w:rsidR="00D05F7E" w:rsidRPr="00D05F7E" w:rsidRDefault="00D05F7E" w:rsidP="00D05F7E">
            <w:pPr>
              <w:rPr>
                <w:rFonts w:eastAsia="Times New Roman" w:cs="Times New Roman"/>
                <w:b/>
                <w:bCs/>
                <w:color w:val="000000"/>
                <w:sz w:val="20"/>
                <w:szCs w:val="20"/>
                <w:lang w:eastAsia="en-US"/>
              </w:rPr>
            </w:pPr>
            <w:r w:rsidRPr="00D05F7E">
              <w:rPr>
                <w:rFonts w:eastAsia="Times New Roman" w:cs="Times New Roman"/>
                <w:b/>
                <w:bCs/>
                <w:color w:val="000000"/>
                <w:sz w:val="20"/>
                <w:szCs w:val="20"/>
                <w:lang w:eastAsia="en-US"/>
              </w:rPr>
              <w:t>Total</w:t>
            </w:r>
          </w:p>
        </w:tc>
        <w:tc>
          <w:tcPr>
            <w:tcW w:w="760" w:type="dxa"/>
            <w:tcBorders>
              <w:top w:val="single" w:sz="4" w:space="0" w:color="auto"/>
              <w:left w:val="nil"/>
              <w:bottom w:val="single" w:sz="8" w:space="0" w:color="auto"/>
              <w:right w:val="nil"/>
            </w:tcBorders>
            <w:shd w:val="clear" w:color="000000" w:fill="FFFFFF"/>
            <w:noWrap/>
            <w:vAlign w:val="center"/>
            <w:hideMark/>
          </w:tcPr>
          <w:p w14:paraId="4288A13C" w14:textId="77777777" w:rsidR="00D05F7E" w:rsidRPr="00D05F7E" w:rsidRDefault="00D05F7E" w:rsidP="00D05F7E">
            <w:pPr>
              <w:jc w:val="center"/>
              <w:rPr>
                <w:rFonts w:eastAsia="Times New Roman" w:cs="Times New Roman"/>
                <w:color w:val="000000"/>
                <w:sz w:val="20"/>
                <w:szCs w:val="20"/>
                <w:lang w:eastAsia="en-US"/>
              </w:rPr>
            </w:pPr>
            <w:r w:rsidRPr="00D05F7E">
              <w:rPr>
                <w:rFonts w:eastAsia="Times New Roman" w:cs="Times New Roman"/>
                <w:color w:val="000000"/>
                <w:sz w:val="20"/>
                <w:szCs w:val="20"/>
                <w:lang w:eastAsia="en-US"/>
              </w:rPr>
              <w:t> </w:t>
            </w:r>
          </w:p>
        </w:tc>
        <w:tc>
          <w:tcPr>
            <w:tcW w:w="720" w:type="dxa"/>
            <w:tcBorders>
              <w:top w:val="single" w:sz="4" w:space="0" w:color="auto"/>
              <w:left w:val="nil"/>
              <w:bottom w:val="single" w:sz="8" w:space="0" w:color="auto"/>
              <w:right w:val="nil"/>
            </w:tcBorders>
            <w:shd w:val="clear" w:color="000000" w:fill="FFFFFF"/>
            <w:noWrap/>
            <w:vAlign w:val="center"/>
            <w:hideMark/>
          </w:tcPr>
          <w:p w14:paraId="0E9E5311" w14:textId="77777777" w:rsidR="00D05F7E" w:rsidRPr="00D05F7E" w:rsidRDefault="00D05F7E" w:rsidP="00D05F7E">
            <w:pPr>
              <w:jc w:val="center"/>
              <w:rPr>
                <w:rFonts w:eastAsia="Times New Roman" w:cs="Times New Roman"/>
                <w:color w:val="000000"/>
                <w:sz w:val="20"/>
                <w:szCs w:val="20"/>
                <w:lang w:eastAsia="en-US"/>
              </w:rPr>
            </w:pPr>
            <w:r w:rsidRPr="00D05F7E">
              <w:rPr>
                <w:rFonts w:eastAsia="Times New Roman" w:cs="Times New Roman"/>
                <w:color w:val="000000"/>
                <w:sz w:val="20"/>
                <w:szCs w:val="20"/>
                <w:lang w:eastAsia="en-US"/>
              </w:rPr>
              <w:t> </w:t>
            </w:r>
          </w:p>
        </w:tc>
        <w:tc>
          <w:tcPr>
            <w:tcW w:w="800" w:type="dxa"/>
            <w:tcBorders>
              <w:top w:val="nil"/>
              <w:left w:val="nil"/>
              <w:bottom w:val="single" w:sz="8" w:space="0" w:color="auto"/>
              <w:right w:val="nil"/>
            </w:tcBorders>
            <w:shd w:val="clear" w:color="000000" w:fill="FFFFFF"/>
            <w:noWrap/>
            <w:vAlign w:val="center"/>
            <w:hideMark/>
          </w:tcPr>
          <w:p w14:paraId="6AE5659A" w14:textId="77777777" w:rsidR="00D05F7E" w:rsidRPr="00D05F7E" w:rsidRDefault="00D05F7E" w:rsidP="00D05F7E">
            <w:pPr>
              <w:jc w:val="center"/>
              <w:rPr>
                <w:rFonts w:eastAsia="Times New Roman" w:cs="Times New Roman"/>
                <w:b/>
                <w:bCs/>
                <w:color w:val="000000"/>
                <w:sz w:val="20"/>
                <w:szCs w:val="20"/>
                <w:lang w:eastAsia="en-US"/>
              </w:rPr>
            </w:pPr>
            <w:r w:rsidRPr="00D05F7E">
              <w:rPr>
                <w:rFonts w:eastAsia="Times New Roman" w:cs="Times New Roman"/>
                <w:b/>
                <w:bCs/>
                <w:color w:val="000000"/>
                <w:sz w:val="20"/>
                <w:szCs w:val="20"/>
                <w:lang w:eastAsia="en-US"/>
              </w:rPr>
              <w:t>100%</w:t>
            </w:r>
          </w:p>
        </w:tc>
        <w:tc>
          <w:tcPr>
            <w:tcW w:w="916" w:type="dxa"/>
            <w:tcBorders>
              <w:top w:val="nil"/>
              <w:left w:val="nil"/>
              <w:bottom w:val="single" w:sz="8" w:space="0" w:color="auto"/>
              <w:right w:val="single" w:sz="8" w:space="0" w:color="auto"/>
            </w:tcBorders>
            <w:shd w:val="clear" w:color="000000" w:fill="FFFFFF"/>
            <w:noWrap/>
            <w:vAlign w:val="center"/>
            <w:hideMark/>
          </w:tcPr>
          <w:p w14:paraId="7D77A826" w14:textId="77777777" w:rsidR="00D05F7E" w:rsidRPr="00D05F7E" w:rsidRDefault="00D05F7E" w:rsidP="00D05F7E">
            <w:pPr>
              <w:jc w:val="center"/>
              <w:rPr>
                <w:rFonts w:eastAsia="Times New Roman" w:cs="Times New Roman"/>
                <w:b/>
                <w:bCs/>
                <w:color w:val="000000"/>
                <w:sz w:val="20"/>
                <w:szCs w:val="20"/>
                <w:lang w:eastAsia="en-US"/>
              </w:rPr>
            </w:pPr>
            <w:r w:rsidRPr="00D05F7E">
              <w:rPr>
                <w:rFonts w:eastAsia="Times New Roman" w:cs="Times New Roman"/>
                <w:b/>
                <w:bCs/>
                <w:color w:val="000000"/>
                <w:sz w:val="20"/>
                <w:szCs w:val="20"/>
                <w:lang w:eastAsia="en-US"/>
              </w:rPr>
              <w:t>100%</w:t>
            </w:r>
          </w:p>
        </w:tc>
      </w:tr>
    </w:tbl>
    <w:p w14:paraId="66535219" w14:textId="77777777" w:rsidR="00280311" w:rsidRDefault="00D05F7E" w:rsidP="00280311">
      <w:pPr>
        <w:pStyle w:val="ListParagraph"/>
        <w:widowControl w:val="0"/>
        <w:ind w:left="0"/>
        <w:contextualSpacing w:val="0"/>
        <w:jc w:val="both"/>
        <w:rPr>
          <w:rFonts w:cs="Times New Roman"/>
          <w:bCs/>
          <w:i/>
          <w:sz w:val="20"/>
          <w:szCs w:val="20"/>
        </w:rPr>
      </w:pPr>
      <w:r>
        <w:rPr>
          <w:rFonts w:cs="Times New Roman"/>
          <w:bCs/>
          <w:i/>
          <w:sz w:val="20"/>
          <w:szCs w:val="20"/>
        </w:rPr>
        <w:t xml:space="preserve">                       S</w:t>
      </w:r>
      <w:r w:rsidR="00280311">
        <w:rPr>
          <w:rFonts w:cs="Times New Roman"/>
          <w:bCs/>
          <w:i/>
          <w:sz w:val="20"/>
          <w:szCs w:val="20"/>
        </w:rPr>
        <w:t>ource: NSL</w:t>
      </w:r>
    </w:p>
    <w:p w14:paraId="258166D2" w14:textId="77777777" w:rsidR="001717F8" w:rsidRPr="00365FEB" w:rsidRDefault="001717F8" w:rsidP="00280311">
      <w:pPr>
        <w:pStyle w:val="ListParagraph"/>
        <w:widowControl w:val="0"/>
        <w:ind w:left="0"/>
        <w:contextualSpacing w:val="0"/>
        <w:jc w:val="both"/>
        <w:rPr>
          <w:rFonts w:cs="Times New Roman"/>
          <w:bCs/>
          <w:i/>
          <w:sz w:val="20"/>
          <w:szCs w:val="20"/>
        </w:rPr>
      </w:pPr>
    </w:p>
    <w:p w14:paraId="705242AE" w14:textId="77777777" w:rsidR="00C50CFE" w:rsidRPr="00720653" w:rsidRDefault="00D35D00" w:rsidP="00F04788">
      <w:pPr>
        <w:pStyle w:val="ListParagraph"/>
        <w:widowControl w:val="0"/>
        <w:numPr>
          <w:ilvl w:val="0"/>
          <w:numId w:val="2"/>
        </w:numPr>
        <w:spacing w:after="240"/>
        <w:ind w:left="0" w:firstLine="0"/>
        <w:contextualSpacing w:val="0"/>
        <w:jc w:val="both"/>
        <w:rPr>
          <w:rFonts w:cs="Times New Roman"/>
        </w:rPr>
      </w:pPr>
      <w:r w:rsidRPr="00720653">
        <w:rPr>
          <w:rFonts w:cs="Times New Roman"/>
        </w:rPr>
        <w:t>While a high concentration of ownership is characteristic in developing/frontier markets whereby financial institutions play a dominant role in purchasing government debt for their asset-</w:t>
      </w:r>
      <w:r w:rsidR="008B2C3D">
        <w:rPr>
          <w:rFonts w:cs="Times New Roman"/>
        </w:rPr>
        <w:t>liability management. T</w:t>
      </w:r>
      <w:r w:rsidRPr="00720653">
        <w:rPr>
          <w:rFonts w:cs="Times New Roman"/>
        </w:rPr>
        <w:t>he PNG institutional investor base exhibits minimal competition, especially amongst commercial banks where ther</w:t>
      </w:r>
      <w:r w:rsidR="001717F8">
        <w:rPr>
          <w:rFonts w:cs="Times New Roman"/>
        </w:rPr>
        <w:t>e are only three</w:t>
      </w:r>
      <w:r w:rsidRPr="00720653">
        <w:rPr>
          <w:rFonts w:cs="Times New Roman"/>
        </w:rPr>
        <w:t xml:space="preserve"> players. </w:t>
      </w:r>
      <w:r w:rsidR="00C50CFE" w:rsidRPr="00D35D00">
        <w:rPr>
          <w:rFonts w:cs="Times New Roman"/>
        </w:rPr>
        <w:t>The government as an issuer is very dependent on a few investors and their preferences.</w:t>
      </w:r>
      <w:r w:rsidR="0060071A" w:rsidRPr="00720653">
        <w:rPr>
          <w:rFonts w:cs="Times New Roman"/>
        </w:rPr>
        <w:t xml:space="preserve"> This poses potential funding and refunding risks for government debt as a “price taker</w:t>
      </w:r>
      <w:r w:rsidR="0060071A" w:rsidRPr="001717F8">
        <w:rPr>
          <w:rFonts w:cs="Times New Roman"/>
          <w:sz w:val="20"/>
          <w:szCs w:val="20"/>
        </w:rPr>
        <w:footnoteReference w:id="20"/>
      </w:r>
      <w:r w:rsidR="0060071A" w:rsidRPr="00720653">
        <w:rPr>
          <w:rFonts w:cs="Times New Roman"/>
        </w:rPr>
        <w:t>” in times of financial imbalance and or financial stress domestically.</w:t>
      </w:r>
    </w:p>
    <w:p w14:paraId="1ED4F67D" w14:textId="25747EB7" w:rsidR="00222725" w:rsidRDefault="001717F8" w:rsidP="00F04788">
      <w:pPr>
        <w:pStyle w:val="ListParagraph"/>
        <w:widowControl w:val="0"/>
        <w:numPr>
          <w:ilvl w:val="0"/>
          <w:numId w:val="2"/>
        </w:numPr>
        <w:spacing w:after="240"/>
        <w:ind w:left="0" w:firstLine="0"/>
        <w:contextualSpacing w:val="0"/>
        <w:jc w:val="both"/>
        <w:rPr>
          <w:rFonts w:cs="Times New Roman"/>
        </w:rPr>
      </w:pPr>
      <w:r>
        <w:rPr>
          <w:rFonts w:cs="Times New Roman"/>
        </w:rPr>
        <w:t>Given the concentration of</w:t>
      </w:r>
      <w:r w:rsidR="00C50CFE" w:rsidRPr="00D35D00">
        <w:rPr>
          <w:rFonts w:cs="Times New Roman"/>
        </w:rPr>
        <w:t xml:space="preserve"> the investor base, it is important </w:t>
      </w:r>
      <w:r w:rsidR="00494B11">
        <w:rPr>
          <w:rFonts w:cs="Times New Roman"/>
        </w:rPr>
        <w:t xml:space="preserve">and recognized by the Treasury and </w:t>
      </w:r>
      <w:r w:rsidR="00BC1045">
        <w:rPr>
          <w:rFonts w:cs="Times New Roman"/>
        </w:rPr>
        <w:t xml:space="preserve">the </w:t>
      </w:r>
      <w:r w:rsidR="00494B11">
        <w:rPr>
          <w:rFonts w:cs="Times New Roman"/>
        </w:rPr>
        <w:t xml:space="preserve">BPNG </w:t>
      </w:r>
      <w:r w:rsidR="00BC1045">
        <w:rPr>
          <w:rFonts w:cs="Times New Roman"/>
        </w:rPr>
        <w:t>that there is a</w:t>
      </w:r>
      <w:r w:rsidR="00494B11">
        <w:rPr>
          <w:rFonts w:cs="Times New Roman"/>
        </w:rPr>
        <w:t xml:space="preserve"> need </w:t>
      </w:r>
      <w:r w:rsidR="00C50CFE" w:rsidRPr="00D35D00">
        <w:rPr>
          <w:rFonts w:cs="Times New Roman"/>
        </w:rPr>
        <w:t>to attract new</w:t>
      </w:r>
      <w:r w:rsidR="008B2C3D">
        <w:rPr>
          <w:rFonts w:cs="Times New Roman"/>
        </w:rPr>
        <w:t xml:space="preserve"> classes of</w:t>
      </w:r>
      <w:r w:rsidR="00C50CFE" w:rsidRPr="00D35D00">
        <w:rPr>
          <w:rFonts w:cs="Times New Roman"/>
        </w:rPr>
        <w:t xml:space="preserve"> investors</w:t>
      </w:r>
      <w:r w:rsidR="00BC1045">
        <w:rPr>
          <w:rFonts w:cs="Times New Roman"/>
        </w:rPr>
        <w:t xml:space="preserve"> and to broaden the investor base</w:t>
      </w:r>
      <w:r w:rsidR="00C50CFE" w:rsidRPr="00D35D00">
        <w:rPr>
          <w:rFonts w:cs="Times New Roman"/>
        </w:rPr>
        <w:t>.</w:t>
      </w:r>
      <w:r w:rsidR="00D35D00">
        <w:rPr>
          <w:rFonts w:cs="Times New Roman"/>
        </w:rPr>
        <w:t xml:space="preserve"> </w:t>
      </w:r>
      <w:r w:rsidR="00222725">
        <w:rPr>
          <w:rFonts w:cs="Times New Roman"/>
        </w:rPr>
        <w:t>It is widely accepted that for the development of the domestic debt market a broader class of</w:t>
      </w:r>
      <w:r w:rsidR="00494B11">
        <w:rPr>
          <w:rFonts w:cs="Times New Roman"/>
        </w:rPr>
        <w:t xml:space="preserve"> investors needs to be promoted</w:t>
      </w:r>
      <w:r w:rsidR="00222725">
        <w:rPr>
          <w:rFonts w:cs="Times New Roman"/>
        </w:rPr>
        <w:t xml:space="preserve"> and given access to the local bond market. The investors targeted would be retail customers, corporate entities, </w:t>
      </w:r>
      <w:r w:rsidR="008B2C3D">
        <w:rPr>
          <w:rFonts w:cs="Times New Roman"/>
        </w:rPr>
        <w:t xml:space="preserve">insurance companies, and </w:t>
      </w:r>
      <w:r w:rsidR="00222725">
        <w:rPr>
          <w:rFonts w:cs="Times New Roman"/>
        </w:rPr>
        <w:t>small and medium sized enterpri</w:t>
      </w:r>
      <w:r w:rsidR="00494B11">
        <w:rPr>
          <w:rFonts w:cs="Times New Roman"/>
        </w:rPr>
        <w:t>ses.</w:t>
      </w:r>
    </w:p>
    <w:p w14:paraId="6B00D4D3" w14:textId="1F70B1E5" w:rsidR="00222725" w:rsidRDefault="00222725" w:rsidP="00F04788">
      <w:pPr>
        <w:pStyle w:val="ListParagraph"/>
        <w:widowControl w:val="0"/>
        <w:numPr>
          <w:ilvl w:val="0"/>
          <w:numId w:val="2"/>
        </w:numPr>
        <w:spacing w:after="240"/>
        <w:ind w:left="0" w:firstLine="0"/>
        <w:contextualSpacing w:val="0"/>
        <w:jc w:val="both"/>
        <w:rPr>
          <w:rFonts w:cs="Times New Roman"/>
        </w:rPr>
      </w:pPr>
      <w:r>
        <w:rPr>
          <w:rFonts w:cs="Times New Roman"/>
        </w:rPr>
        <w:t xml:space="preserve">To attract this group of investors, would at first, allow access to the primary market for government securities as well as central bank bills. Registered bidders such as banks and brokers should act as intermediaries and facilitate customers primary and secondary transactions. As previously mentioned, Treasury </w:t>
      </w:r>
      <w:r w:rsidR="008B2C3D">
        <w:rPr>
          <w:rFonts w:cs="Times New Roman"/>
        </w:rPr>
        <w:t xml:space="preserve">&amp; </w:t>
      </w:r>
      <w:r w:rsidR="00A25D5F">
        <w:rPr>
          <w:rFonts w:cs="Times New Roman"/>
        </w:rPr>
        <w:t xml:space="preserve">the </w:t>
      </w:r>
      <w:r w:rsidR="008B2C3D">
        <w:rPr>
          <w:rFonts w:cs="Times New Roman"/>
        </w:rPr>
        <w:t xml:space="preserve">BPNG </w:t>
      </w:r>
      <w:r>
        <w:rPr>
          <w:rFonts w:cs="Times New Roman"/>
        </w:rPr>
        <w:t xml:space="preserve">should allow for non-competitive bidding in the primary market for these entities. </w:t>
      </w:r>
    </w:p>
    <w:p w14:paraId="19F1A46E" w14:textId="416567D9" w:rsidR="006A3766" w:rsidRPr="00222725" w:rsidRDefault="00BC1045" w:rsidP="00F04788">
      <w:pPr>
        <w:pStyle w:val="ListParagraph"/>
        <w:widowControl w:val="0"/>
        <w:numPr>
          <w:ilvl w:val="0"/>
          <w:numId w:val="2"/>
        </w:numPr>
        <w:spacing w:after="240"/>
        <w:ind w:left="0" w:firstLine="0"/>
        <w:contextualSpacing w:val="0"/>
        <w:jc w:val="both"/>
        <w:rPr>
          <w:rFonts w:cs="Times New Roman"/>
        </w:rPr>
      </w:pPr>
      <w:r>
        <w:rPr>
          <w:rFonts w:cs="Times New Roman"/>
        </w:rPr>
        <w:t xml:space="preserve">The </w:t>
      </w:r>
      <w:r w:rsidR="006A3766">
        <w:rPr>
          <w:rFonts w:cs="Times New Roman"/>
        </w:rPr>
        <w:t xml:space="preserve">BPNG Tap Facility has attempted to generate interest and </w:t>
      </w:r>
      <w:r w:rsidR="001431BE">
        <w:rPr>
          <w:rFonts w:cs="Times New Roman"/>
        </w:rPr>
        <w:t xml:space="preserve">participation for retail and small investors into the government securities and central bank bills market. However, to date </w:t>
      </w:r>
      <w:r w:rsidR="00756E08">
        <w:rPr>
          <w:rFonts w:cs="Times New Roman"/>
        </w:rPr>
        <w:t>there,</w:t>
      </w:r>
      <w:r w:rsidR="008B2C3D">
        <w:rPr>
          <w:rFonts w:cs="Times New Roman"/>
        </w:rPr>
        <w:t xml:space="preserve"> as been </w:t>
      </w:r>
      <w:r w:rsidR="001431BE">
        <w:rPr>
          <w:rFonts w:cs="Times New Roman"/>
        </w:rPr>
        <w:t xml:space="preserve">very low participation mainly due to </w:t>
      </w:r>
      <w:r>
        <w:rPr>
          <w:rFonts w:cs="Times New Roman"/>
        </w:rPr>
        <w:t xml:space="preserve">difficulties in </w:t>
      </w:r>
      <w:r w:rsidR="001431BE">
        <w:rPr>
          <w:rFonts w:cs="Times New Roman"/>
        </w:rPr>
        <w:t>access</w:t>
      </w:r>
      <w:r>
        <w:rPr>
          <w:rFonts w:cs="Times New Roman"/>
        </w:rPr>
        <w:t xml:space="preserve">ing the TAP Facility </w:t>
      </w:r>
      <w:r w:rsidR="001431BE">
        <w:rPr>
          <w:rFonts w:cs="Times New Roman"/>
        </w:rPr>
        <w:t xml:space="preserve">for small investors as the central bank has </w:t>
      </w:r>
      <w:r>
        <w:rPr>
          <w:rFonts w:cs="Times New Roman"/>
        </w:rPr>
        <w:t xml:space="preserve">only </w:t>
      </w:r>
      <w:r w:rsidR="001431BE">
        <w:rPr>
          <w:rFonts w:cs="Times New Roman"/>
        </w:rPr>
        <w:t>one location.</w:t>
      </w:r>
    </w:p>
    <w:p w14:paraId="663DDA83" w14:textId="42AC5AC6" w:rsidR="00D53DD7" w:rsidRPr="006A3766" w:rsidRDefault="00D53DD7" w:rsidP="006A3766">
      <w:pPr>
        <w:pStyle w:val="ListParagraph"/>
        <w:widowControl w:val="0"/>
        <w:numPr>
          <w:ilvl w:val="0"/>
          <w:numId w:val="2"/>
        </w:numPr>
        <w:spacing w:after="240"/>
        <w:ind w:left="0" w:firstLine="0"/>
        <w:contextualSpacing w:val="0"/>
        <w:jc w:val="both"/>
        <w:rPr>
          <w:rFonts w:cs="Times New Roman"/>
        </w:rPr>
      </w:pPr>
      <w:r w:rsidRPr="006A3766">
        <w:rPr>
          <w:rFonts w:cs="Times New Roman"/>
        </w:rPr>
        <w:t>The</w:t>
      </w:r>
      <w:r w:rsidR="006A3766" w:rsidRPr="006A3766">
        <w:rPr>
          <w:rFonts w:cs="Times New Roman"/>
        </w:rPr>
        <w:t xml:space="preserve"> other</w:t>
      </w:r>
      <w:r w:rsidRPr="006A3766">
        <w:rPr>
          <w:rFonts w:cs="Times New Roman"/>
        </w:rPr>
        <w:t xml:space="preserve"> s</w:t>
      </w:r>
      <w:r w:rsidR="00352F01" w:rsidRPr="006A3766">
        <w:rPr>
          <w:rFonts w:cs="Times New Roman"/>
        </w:rPr>
        <w:t>tated goal</w:t>
      </w:r>
      <w:r w:rsidR="00494B11" w:rsidRPr="006A3766">
        <w:rPr>
          <w:rFonts w:cs="Times New Roman"/>
        </w:rPr>
        <w:t xml:space="preserve"> of the Treasury</w:t>
      </w:r>
      <w:r w:rsidR="006A3766" w:rsidRPr="006A3766">
        <w:rPr>
          <w:rFonts w:cs="Times New Roman"/>
        </w:rPr>
        <w:t>, FMD,</w:t>
      </w:r>
      <w:r w:rsidR="00494B11" w:rsidRPr="006A3766">
        <w:rPr>
          <w:rFonts w:cs="Times New Roman"/>
        </w:rPr>
        <w:t xml:space="preserve"> and </w:t>
      </w:r>
      <w:r w:rsidR="00BC1045">
        <w:rPr>
          <w:rFonts w:cs="Times New Roman"/>
        </w:rPr>
        <w:t xml:space="preserve">the </w:t>
      </w:r>
      <w:r w:rsidR="006A3766" w:rsidRPr="006A3766">
        <w:rPr>
          <w:rFonts w:cs="Times New Roman"/>
        </w:rPr>
        <w:t xml:space="preserve">BPNG </w:t>
      </w:r>
      <w:r w:rsidR="00494B11" w:rsidRPr="006A3766">
        <w:rPr>
          <w:rFonts w:cs="Times New Roman"/>
        </w:rPr>
        <w:t xml:space="preserve">is to attract a </w:t>
      </w:r>
      <w:r w:rsidR="006A3766" w:rsidRPr="006A3766">
        <w:rPr>
          <w:rFonts w:cs="Times New Roman"/>
        </w:rPr>
        <w:t>non-resident</w:t>
      </w:r>
      <w:r w:rsidRPr="006A3766">
        <w:rPr>
          <w:rFonts w:cs="Times New Roman"/>
        </w:rPr>
        <w:t xml:space="preserve"> investor base</w:t>
      </w:r>
      <w:r w:rsidR="00494B11" w:rsidRPr="006A3766">
        <w:rPr>
          <w:rFonts w:cs="Times New Roman"/>
        </w:rPr>
        <w:t xml:space="preserve"> into the PNG local market</w:t>
      </w:r>
      <w:r w:rsidRPr="006A3766">
        <w:rPr>
          <w:rFonts w:cs="Times New Roman"/>
        </w:rPr>
        <w:t xml:space="preserve">. Previously no foreign investor base has been identified or targeted. </w:t>
      </w:r>
      <w:r w:rsidR="006A3766">
        <w:rPr>
          <w:rFonts w:cs="Times New Roman"/>
        </w:rPr>
        <w:t>Local investment managers have indicated that f</w:t>
      </w:r>
      <w:r w:rsidRPr="006A3766">
        <w:rPr>
          <w:rFonts w:cs="Times New Roman"/>
        </w:rPr>
        <w:t xml:space="preserve">oreign </w:t>
      </w:r>
      <w:r w:rsidRPr="006A3766">
        <w:rPr>
          <w:rFonts w:cs="Times New Roman"/>
        </w:rPr>
        <w:lastRenderedPageBreak/>
        <w:t>investors</w:t>
      </w:r>
      <w:r w:rsidR="006A3766">
        <w:rPr>
          <w:rFonts w:cs="Times New Roman"/>
        </w:rPr>
        <w:t>, recently, have made inquiries and expressed interest in investing in PNG fixed income products, specifically government securities, based on return and a</w:t>
      </w:r>
      <w:r w:rsidR="007F546D">
        <w:rPr>
          <w:rFonts w:cs="Times New Roman"/>
        </w:rPr>
        <w:t xml:space="preserve"> desire</w:t>
      </w:r>
      <w:r w:rsidR="00A25D5F">
        <w:rPr>
          <w:rFonts w:cs="Times New Roman"/>
        </w:rPr>
        <w:t xml:space="preserve"> </w:t>
      </w:r>
      <w:r w:rsidR="008B2C3D">
        <w:rPr>
          <w:rFonts w:cs="Times New Roman"/>
        </w:rPr>
        <w:t xml:space="preserve">to acquire </w:t>
      </w:r>
      <w:r w:rsidR="006A3766">
        <w:rPr>
          <w:rFonts w:cs="Times New Roman"/>
        </w:rPr>
        <w:t>assets to provide a stake in the local economy</w:t>
      </w:r>
      <w:r w:rsidR="007F546D">
        <w:rPr>
          <w:rFonts w:cs="Times New Roman"/>
        </w:rPr>
        <w:t xml:space="preserve"> as part of their allocation to new or emerging markets in investment strategies</w:t>
      </w:r>
      <w:r w:rsidR="006A3766">
        <w:rPr>
          <w:rFonts w:cs="Times New Roman"/>
        </w:rPr>
        <w:t>.</w:t>
      </w:r>
      <w:r w:rsidR="001431BE">
        <w:rPr>
          <w:rFonts w:cs="Times New Roman"/>
        </w:rPr>
        <w:t xml:space="preserve"> Non-residents entry into the domestic markets brings new sets of demand as well as bring</w:t>
      </w:r>
      <w:r w:rsidR="008B2C3D">
        <w:rPr>
          <w:rFonts w:cs="Times New Roman"/>
        </w:rPr>
        <w:t>ing</w:t>
      </w:r>
      <w:r w:rsidR="001431BE">
        <w:rPr>
          <w:rFonts w:cs="Times New Roman"/>
        </w:rPr>
        <w:t xml:space="preserve"> a new set of requirements that can lead to market development, such as improvements to market infrastructure. Also, as non-resident investors gradually</w:t>
      </w:r>
      <w:r w:rsidR="008B2C3D">
        <w:rPr>
          <w:rFonts w:cs="Times New Roman"/>
        </w:rPr>
        <w:t xml:space="preserve">, and over time, </w:t>
      </w:r>
      <w:r w:rsidR="001431BE">
        <w:rPr>
          <w:rFonts w:cs="Times New Roman"/>
        </w:rPr>
        <w:t>enter the PNG capital markets</w:t>
      </w:r>
      <w:r w:rsidR="007F546D">
        <w:rPr>
          <w:rFonts w:cs="Times New Roman"/>
        </w:rPr>
        <w:t>,</w:t>
      </w:r>
      <w:r w:rsidR="001431BE">
        <w:rPr>
          <w:rFonts w:cs="Times New Roman"/>
        </w:rPr>
        <w:t xml:space="preserve"> close attention and monitoring </w:t>
      </w:r>
      <w:r w:rsidR="008B2C3D">
        <w:rPr>
          <w:rFonts w:cs="Times New Roman"/>
        </w:rPr>
        <w:t xml:space="preserve">must be given </w:t>
      </w:r>
      <w:r w:rsidR="001431BE">
        <w:rPr>
          <w:rFonts w:cs="Times New Roman"/>
        </w:rPr>
        <w:t>by the regulator and market sup</w:t>
      </w:r>
      <w:r w:rsidR="00B763C1">
        <w:rPr>
          <w:rFonts w:cs="Times New Roman"/>
        </w:rPr>
        <w:t>ervision on their holdings, duration</w:t>
      </w:r>
      <w:r w:rsidR="001431BE">
        <w:rPr>
          <w:rFonts w:cs="Times New Roman"/>
        </w:rPr>
        <w:t xml:space="preserve"> of h</w:t>
      </w:r>
      <w:r w:rsidR="00B763C1">
        <w:rPr>
          <w:rFonts w:cs="Times New Roman"/>
        </w:rPr>
        <w:t xml:space="preserve">oldings, movements in the local market e.g. seeking longer dated securities, and </w:t>
      </w:r>
      <w:r w:rsidR="008B2C3D">
        <w:rPr>
          <w:rFonts w:cs="Times New Roman"/>
        </w:rPr>
        <w:t xml:space="preserve">the </w:t>
      </w:r>
      <w:r w:rsidR="00B763C1">
        <w:rPr>
          <w:rFonts w:cs="Times New Roman"/>
        </w:rPr>
        <w:t xml:space="preserve">potential for outward flows or repatriation. </w:t>
      </w:r>
    </w:p>
    <w:p w14:paraId="6DF4C986" w14:textId="7B0FD5B5" w:rsidR="005E7133" w:rsidRDefault="005E7133" w:rsidP="00F04788">
      <w:pPr>
        <w:pStyle w:val="ListParagraph"/>
        <w:widowControl w:val="0"/>
        <w:numPr>
          <w:ilvl w:val="0"/>
          <w:numId w:val="2"/>
        </w:numPr>
        <w:spacing w:after="240"/>
        <w:ind w:left="0" w:firstLine="0"/>
        <w:contextualSpacing w:val="0"/>
        <w:jc w:val="both"/>
        <w:rPr>
          <w:rFonts w:cs="Times New Roman"/>
        </w:rPr>
      </w:pPr>
      <w:r w:rsidRPr="005E7133">
        <w:rPr>
          <w:rFonts w:cs="Times New Roman"/>
        </w:rPr>
        <w:t xml:space="preserve">Typical concerns by </w:t>
      </w:r>
      <w:r w:rsidRPr="00494B11">
        <w:rPr>
          <w:rFonts w:cs="Times New Roman"/>
          <w:i/>
        </w:rPr>
        <w:t>non-resident</w:t>
      </w:r>
      <w:r w:rsidRPr="005E7133">
        <w:rPr>
          <w:rFonts w:cs="Times New Roman"/>
        </w:rPr>
        <w:t xml:space="preserve"> investors which should </w:t>
      </w:r>
      <w:r w:rsidR="00352F01">
        <w:rPr>
          <w:rFonts w:cs="Times New Roman"/>
        </w:rPr>
        <w:t xml:space="preserve">be </w:t>
      </w:r>
      <w:r w:rsidRPr="005E7133">
        <w:rPr>
          <w:rFonts w:cs="Times New Roman"/>
        </w:rPr>
        <w:t xml:space="preserve">addressed through the relevant authority’s website, </w:t>
      </w:r>
      <w:r w:rsidR="007F546D">
        <w:rPr>
          <w:rFonts w:cs="Times New Roman"/>
        </w:rPr>
        <w:t>should</w:t>
      </w:r>
      <w:r w:rsidRPr="005E7133">
        <w:rPr>
          <w:rFonts w:cs="Times New Roman"/>
        </w:rPr>
        <w:t xml:space="preserve"> include: (</w:t>
      </w:r>
      <w:proofErr w:type="spellStart"/>
      <w:r w:rsidRPr="005E7133">
        <w:rPr>
          <w:rFonts w:cs="Times New Roman"/>
        </w:rPr>
        <w:t>i</w:t>
      </w:r>
      <w:proofErr w:type="spellEnd"/>
      <w:r w:rsidRPr="005E7133">
        <w:rPr>
          <w:rFonts w:cs="Times New Roman"/>
        </w:rPr>
        <w:t>) Central bank’s exchange rate r</w:t>
      </w:r>
      <w:r w:rsidR="005035E0">
        <w:rPr>
          <w:rFonts w:cs="Times New Roman"/>
        </w:rPr>
        <w:t>egime; (ii) C</w:t>
      </w:r>
      <w:r w:rsidRPr="005E7133">
        <w:rPr>
          <w:rFonts w:cs="Times New Roman"/>
        </w:rPr>
        <w:t>apital controls</w:t>
      </w:r>
      <w:r w:rsidR="007F546D">
        <w:rPr>
          <w:rFonts w:cs="Times New Roman"/>
        </w:rPr>
        <w:t>,</w:t>
      </w:r>
      <w:r w:rsidRPr="005E7133">
        <w:rPr>
          <w:rFonts w:cs="Times New Roman"/>
        </w:rPr>
        <w:t xml:space="preserve"> if they exist; (iii) </w:t>
      </w:r>
      <w:r w:rsidR="007F546D">
        <w:rPr>
          <w:rFonts w:cs="Times New Roman"/>
        </w:rPr>
        <w:t>The a</w:t>
      </w:r>
      <w:r w:rsidRPr="005E7133">
        <w:rPr>
          <w:rFonts w:cs="Times New Roman"/>
        </w:rPr>
        <w:t>bility to repatriate their investment upon liqui</w:t>
      </w:r>
      <w:r w:rsidR="008B2C3D">
        <w:rPr>
          <w:rFonts w:cs="Times New Roman"/>
        </w:rPr>
        <w:t>dation</w:t>
      </w:r>
      <w:r w:rsidRPr="005E7133">
        <w:rPr>
          <w:rFonts w:cs="Times New Roman"/>
        </w:rPr>
        <w:t>; (iii) Access to the primary market</w:t>
      </w:r>
      <w:r w:rsidR="006D6913">
        <w:rPr>
          <w:rFonts w:cs="Times New Roman"/>
        </w:rPr>
        <w:t xml:space="preserve"> and requiring an automated auction system not manual</w:t>
      </w:r>
      <w:r w:rsidRPr="005E7133">
        <w:rPr>
          <w:rFonts w:cs="Times New Roman"/>
        </w:rPr>
        <w:t>; (iv) If a non-residents need to purchase bonds in the primary market via domestic banks</w:t>
      </w:r>
      <w:r w:rsidR="007F546D">
        <w:rPr>
          <w:rFonts w:cs="Times New Roman"/>
        </w:rPr>
        <w:t>,</w:t>
      </w:r>
      <w:r w:rsidRPr="005E7133">
        <w:rPr>
          <w:rFonts w:cs="Times New Roman"/>
        </w:rPr>
        <w:t xml:space="preserve"> would the banks </w:t>
      </w:r>
      <w:r w:rsidR="006D6913">
        <w:rPr>
          <w:rFonts w:cs="Times New Roman"/>
        </w:rPr>
        <w:t xml:space="preserve">and intermediaries </w:t>
      </w:r>
      <w:r w:rsidRPr="005E7133">
        <w:rPr>
          <w:rFonts w:cs="Times New Roman"/>
        </w:rPr>
        <w:t xml:space="preserve">be willing to do so; (v) Secondary market liquidity or ability to buy or sell at “fair value”; (vi) Market infrastructure </w:t>
      </w:r>
      <w:r w:rsidR="008B2C3D">
        <w:rPr>
          <w:rFonts w:cs="Times New Roman"/>
        </w:rPr>
        <w:t>–</w:t>
      </w:r>
      <w:r w:rsidRPr="005E7133">
        <w:rPr>
          <w:rFonts w:cs="Times New Roman"/>
        </w:rPr>
        <w:t xml:space="preserve"> </w:t>
      </w:r>
      <w:r w:rsidR="008B2C3D">
        <w:rPr>
          <w:rFonts w:cs="Times New Roman"/>
        </w:rPr>
        <w:t xml:space="preserve">automated </w:t>
      </w:r>
      <w:r w:rsidRPr="005E7133">
        <w:rPr>
          <w:rFonts w:cs="Times New Roman"/>
        </w:rPr>
        <w:t>clearing, s</w:t>
      </w:r>
      <w:r w:rsidR="006D6913">
        <w:rPr>
          <w:rFonts w:cs="Times New Roman"/>
        </w:rPr>
        <w:t>ettlement, and central securities depository</w:t>
      </w:r>
      <w:r w:rsidRPr="005E7133">
        <w:rPr>
          <w:rFonts w:cs="Times New Roman"/>
        </w:rPr>
        <w:t>.</w:t>
      </w:r>
    </w:p>
    <w:p w14:paraId="62E41622" w14:textId="77777777" w:rsidR="00494B11" w:rsidRPr="00494B11" w:rsidRDefault="00494B11" w:rsidP="00494B11">
      <w:pPr>
        <w:pStyle w:val="ListParagraph"/>
        <w:widowControl w:val="0"/>
        <w:numPr>
          <w:ilvl w:val="0"/>
          <w:numId w:val="2"/>
        </w:numPr>
        <w:spacing w:after="240"/>
        <w:ind w:left="0" w:firstLine="0"/>
        <w:contextualSpacing w:val="0"/>
        <w:jc w:val="both"/>
        <w:rPr>
          <w:rFonts w:cs="Times New Roman"/>
        </w:rPr>
      </w:pPr>
      <w:r>
        <w:rPr>
          <w:rFonts w:cs="Times New Roman"/>
        </w:rPr>
        <w:t>Market infrastructure of</w:t>
      </w:r>
      <w:r w:rsidR="00756E08">
        <w:rPr>
          <w:rFonts w:cs="Times New Roman"/>
        </w:rPr>
        <w:t xml:space="preserve"> automated primary market and</w:t>
      </w:r>
      <w:r>
        <w:rPr>
          <w:rFonts w:cs="Times New Roman"/>
        </w:rPr>
        <w:t xml:space="preserve"> sound electronic clearing, settlement, and custody </w:t>
      </w:r>
      <w:r w:rsidR="00756E08">
        <w:rPr>
          <w:rFonts w:cs="Times New Roman"/>
        </w:rPr>
        <w:t xml:space="preserve">systems </w:t>
      </w:r>
      <w:r>
        <w:rPr>
          <w:rFonts w:cs="Times New Roman"/>
        </w:rPr>
        <w:t xml:space="preserve">is a </w:t>
      </w:r>
      <w:r w:rsidR="006D6913">
        <w:rPr>
          <w:rFonts w:cs="Times New Roman"/>
        </w:rPr>
        <w:t xml:space="preserve">critical </w:t>
      </w:r>
      <w:r>
        <w:rPr>
          <w:rFonts w:cs="Times New Roman"/>
        </w:rPr>
        <w:t xml:space="preserve">precursor to attracting foreign investor’s as their investment policies and charters mandate them. Developing electronic systems for debt products should be a priority for </w:t>
      </w:r>
      <w:r w:rsidR="00756E08">
        <w:rPr>
          <w:rFonts w:cs="Times New Roman"/>
        </w:rPr>
        <w:t xml:space="preserve">Treasury, </w:t>
      </w:r>
      <w:r w:rsidR="00386E7C">
        <w:rPr>
          <w:rFonts w:cs="Times New Roman"/>
        </w:rPr>
        <w:t xml:space="preserve">the </w:t>
      </w:r>
      <w:r>
        <w:rPr>
          <w:rFonts w:cs="Times New Roman"/>
        </w:rPr>
        <w:t>BPNG</w:t>
      </w:r>
      <w:r w:rsidR="00756E08">
        <w:rPr>
          <w:rFonts w:cs="Times New Roman"/>
        </w:rPr>
        <w:t>, and FMD</w:t>
      </w:r>
      <w:r>
        <w:rPr>
          <w:rFonts w:cs="Times New Roman"/>
        </w:rPr>
        <w:t>.</w:t>
      </w:r>
    </w:p>
    <w:p w14:paraId="63320B50" w14:textId="27C9B26D" w:rsidR="005E7133" w:rsidRPr="00B161F6" w:rsidRDefault="005E7133" w:rsidP="00B161F6">
      <w:pPr>
        <w:pStyle w:val="ListParagraph"/>
        <w:widowControl w:val="0"/>
        <w:numPr>
          <w:ilvl w:val="0"/>
          <w:numId w:val="2"/>
        </w:numPr>
        <w:spacing w:after="240"/>
        <w:ind w:left="0" w:firstLine="0"/>
        <w:contextualSpacing w:val="0"/>
        <w:jc w:val="both"/>
        <w:rPr>
          <w:rFonts w:cs="Times New Roman"/>
        </w:rPr>
      </w:pPr>
      <w:r w:rsidRPr="005E7133">
        <w:rPr>
          <w:rFonts w:cs="Times New Roman"/>
        </w:rPr>
        <w:t>Many institutional investors will seek assets that they can use to more effectively hedge their liabilities in domestic currency denominated T-Bills</w:t>
      </w:r>
      <w:r w:rsidR="005A0B68">
        <w:rPr>
          <w:rFonts w:cs="Times New Roman"/>
        </w:rPr>
        <w:t xml:space="preserve">, CBBs, </w:t>
      </w:r>
      <w:r w:rsidRPr="005E7133">
        <w:rPr>
          <w:rFonts w:cs="Times New Roman"/>
        </w:rPr>
        <w:t>and G</w:t>
      </w:r>
      <w:r w:rsidR="00386E7C">
        <w:rPr>
          <w:rFonts w:cs="Times New Roman"/>
        </w:rPr>
        <w:t>IS</w:t>
      </w:r>
      <w:r w:rsidRPr="005E7133">
        <w:rPr>
          <w:rFonts w:cs="Times New Roman"/>
        </w:rPr>
        <w:t xml:space="preserve"> bonds to potentially improve asset-liability management. More efficient asset-liab</w:t>
      </w:r>
      <w:r w:rsidR="005A0B68">
        <w:rPr>
          <w:rFonts w:cs="Times New Roman"/>
        </w:rPr>
        <w:t>ility management translates to potential</w:t>
      </w:r>
      <w:r w:rsidRPr="005E7133">
        <w:rPr>
          <w:rFonts w:cs="Times New Roman"/>
        </w:rPr>
        <w:t xml:space="preserve"> low-cost </w:t>
      </w:r>
      <w:r w:rsidR="005A0B68">
        <w:rPr>
          <w:rFonts w:cs="Times New Roman"/>
        </w:rPr>
        <w:t>funding to the government</w:t>
      </w:r>
      <w:r w:rsidR="008925E3">
        <w:rPr>
          <w:rFonts w:cs="Times New Roman"/>
        </w:rPr>
        <w:t>,</w:t>
      </w:r>
      <w:r w:rsidR="005A0B68">
        <w:rPr>
          <w:rFonts w:cs="Times New Roman"/>
        </w:rPr>
        <w:t xml:space="preserve"> assuming the issuance planning factors in</w:t>
      </w:r>
      <w:r w:rsidR="00386E7C">
        <w:rPr>
          <w:rFonts w:cs="Times New Roman"/>
        </w:rPr>
        <w:t>to</w:t>
      </w:r>
      <w:r w:rsidR="005A0B68">
        <w:rPr>
          <w:rFonts w:cs="Times New Roman"/>
        </w:rPr>
        <w:t xml:space="preserve"> the demand and provides the required maturities.</w:t>
      </w:r>
      <w:r w:rsidRPr="00B161F6">
        <w:rPr>
          <w:rFonts w:cs="Times New Roman"/>
        </w:rPr>
        <w:t xml:space="preserve"> </w:t>
      </w:r>
      <w:r w:rsidR="006D6913">
        <w:rPr>
          <w:rFonts w:cs="Times New Roman"/>
        </w:rPr>
        <w:t xml:space="preserve">To </w:t>
      </w:r>
      <w:r w:rsidRPr="00B161F6">
        <w:rPr>
          <w:rFonts w:cs="Times New Roman"/>
        </w:rPr>
        <w:t xml:space="preserve">analyze demand, the yield curve can usefully be categorized into three distinct </w:t>
      </w:r>
      <w:r w:rsidRPr="00B161F6">
        <w:rPr>
          <w:rFonts w:cs="Times New Roman"/>
          <w:i/>
        </w:rPr>
        <w:t>“investor habitats”</w:t>
      </w:r>
      <w:r w:rsidR="005A0B68">
        <w:rPr>
          <w:rFonts w:cs="Times New Roman"/>
          <w:i/>
        </w:rPr>
        <w:t>,</w:t>
      </w:r>
      <w:r w:rsidR="006D6913">
        <w:rPr>
          <w:rFonts w:cs="Times New Roman"/>
          <w:i/>
        </w:rPr>
        <w:t xml:space="preserve"> </w:t>
      </w:r>
      <w:r w:rsidR="00B161F6">
        <w:rPr>
          <w:rFonts w:cs="Times New Roman"/>
        </w:rPr>
        <w:t>Fi</w:t>
      </w:r>
      <w:r w:rsidR="006D6913">
        <w:rPr>
          <w:rFonts w:cs="Times New Roman"/>
        </w:rPr>
        <w:t>gure10</w:t>
      </w:r>
      <w:r w:rsidR="005A0B68">
        <w:rPr>
          <w:rFonts w:cs="Times New Roman"/>
        </w:rPr>
        <w:t>:</w:t>
      </w:r>
    </w:p>
    <w:p w14:paraId="11E8EAA9" w14:textId="77777777" w:rsidR="005E7133" w:rsidRPr="00720653" w:rsidRDefault="005E7133" w:rsidP="00352F01">
      <w:pPr>
        <w:pStyle w:val="ListParagraph"/>
        <w:widowControl w:val="0"/>
        <w:numPr>
          <w:ilvl w:val="0"/>
          <w:numId w:val="35"/>
        </w:numPr>
        <w:spacing w:after="240"/>
        <w:contextualSpacing w:val="0"/>
        <w:jc w:val="both"/>
        <w:rPr>
          <w:rFonts w:cs="Times New Roman"/>
        </w:rPr>
      </w:pPr>
      <w:r w:rsidRPr="00720653">
        <w:rPr>
          <w:rFonts w:cs="Times New Roman"/>
        </w:rPr>
        <w:t>Short-term maturities (less than 3 years): Commercial banks, retail clients, and mutual funds can be expected to have a high demand fo</w:t>
      </w:r>
      <w:r w:rsidR="006D6913">
        <w:rPr>
          <w:rFonts w:cs="Times New Roman"/>
        </w:rPr>
        <w:t xml:space="preserve">r domestic </w:t>
      </w:r>
      <w:r w:rsidRPr="00720653">
        <w:rPr>
          <w:rFonts w:cs="Times New Roman"/>
        </w:rPr>
        <w:t>T-bills and government bonds with maturities less than 3 years.</w:t>
      </w:r>
    </w:p>
    <w:p w14:paraId="2F7F0CC5" w14:textId="77777777" w:rsidR="005E7133" w:rsidRPr="00720653" w:rsidRDefault="005E7133" w:rsidP="00352F01">
      <w:pPr>
        <w:pStyle w:val="ListParagraph"/>
        <w:widowControl w:val="0"/>
        <w:numPr>
          <w:ilvl w:val="0"/>
          <w:numId w:val="35"/>
        </w:numPr>
        <w:spacing w:after="240"/>
        <w:contextualSpacing w:val="0"/>
        <w:jc w:val="both"/>
        <w:rPr>
          <w:rFonts w:cs="Times New Roman"/>
        </w:rPr>
      </w:pPr>
      <w:r w:rsidRPr="00720653">
        <w:rPr>
          <w:rFonts w:cs="Times New Roman"/>
        </w:rPr>
        <w:t>Medium-term matur</w:t>
      </w:r>
      <w:r w:rsidR="006D6913">
        <w:rPr>
          <w:rFonts w:cs="Times New Roman"/>
        </w:rPr>
        <w:t xml:space="preserve">ities (3–7 years): Mutual funds </w:t>
      </w:r>
      <w:r w:rsidRPr="00720653">
        <w:rPr>
          <w:rFonts w:cs="Times New Roman"/>
        </w:rPr>
        <w:t>and provident funds are often significant buyers of medium-term government bonds.</w:t>
      </w:r>
    </w:p>
    <w:p w14:paraId="71E3EA7F" w14:textId="08BB2BE6" w:rsidR="00DE49D8" w:rsidRDefault="005E7133" w:rsidP="00F10E22">
      <w:pPr>
        <w:pStyle w:val="ListParagraph"/>
        <w:widowControl w:val="0"/>
        <w:numPr>
          <w:ilvl w:val="0"/>
          <w:numId w:val="35"/>
        </w:numPr>
        <w:spacing w:after="240"/>
        <w:contextualSpacing w:val="0"/>
        <w:jc w:val="both"/>
        <w:rPr>
          <w:rFonts w:cs="Times New Roman"/>
        </w:rPr>
      </w:pPr>
      <w:r w:rsidRPr="00720653">
        <w:rPr>
          <w:rFonts w:cs="Times New Roman"/>
        </w:rPr>
        <w:t>Long-term maturities (7–30 years): Pension funds, insurance companies, and retirement funds are typically seeking longer-dated assets to he</w:t>
      </w:r>
      <w:r w:rsidR="00F10E22">
        <w:rPr>
          <w:rFonts w:cs="Times New Roman"/>
        </w:rPr>
        <w:t>dge their liabilities</w:t>
      </w:r>
      <w:r w:rsidRPr="00720653">
        <w:rPr>
          <w:rFonts w:cs="Times New Roman"/>
        </w:rPr>
        <w:t>.</w:t>
      </w:r>
    </w:p>
    <w:p w14:paraId="5777016C" w14:textId="77777777" w:rsidR="008B3D04" w:rsidRDefault="008B3D04" w:rsidP="008B3D04">
      <w:pPr>
        <w:pStyle w:val="ListParagraph"/>
        <w:widowControl w:val="0"/>
        <w:spacing w:after="240"/>
        <w:contextualSpacing w:val="0"/>
        <w:jc w:val="both"/>
        <w:rPr>
          <w:rFonts w:cs="Times New Roman"/>
        </w:rPr>
      </w:pPr>
    </w:p>
    <w:p w14:paraId="7250B200" w14:textId="77777777" w:rsidR="00056D87" w:rsidRPr="00161D47" w:rsidRDefault="00056D87" w:rsidP="008B3D04">
      <w:pPr>
        <w:pStyle w:val="ListParagraph"/>
        <w:widowControl w:val="0"/>
        <w:spacing w:after="240"/>
        <w:contextualSpacing w:val="0"/>
        <w:jc w:val="both"/>
        <w:rPr>
          <w:rFonts w:cs="Times New Roman"/>
        </w:rPr>
      </w:pPr>
    </w:p>
    <w:p w14:paraId="4FA804F2" w14:textId="77777777" w:rsidR="005E7133" w:rsidRPr="00365FEB" w:rsidRDefault="001A4928" w:rsidP="00365FEB">
      <w:pPr>
        <w:pStyle w:val="Bullet"/>
        <w:numPr>
          <w:ilvl w:val="0"/>
          <w:numId w:val="0"/>
        </w:numPr>
        <w:ind w:left="720"/>
        <w:rPr>
          <w:rFonts w:ascii="Times New Roman" w:hAnsi="Times New Roman"/>
          <w:b/>
          <w:u w:val="single"/>
        </w:rPr>
      </w:pPr>
      <w:r>
        <w:rPr>
          <w:rFonts w:ascii="Times New Roman" w:hAnsi="Times New Roman"/>
          <w:b/>
          <w:u w:val="single"/>
        </w:rPr>
        <w:lastRenderedPageBreak/>
        <w:t>Figure 10</w:t>
      </w:r>
      <w:r w:rsidR="005E7133" w:rsidRPr="00A75B58">
        <w:rPr>
          <w:rFonts w:ascii="Times New Roman" w:hAnsi="Times New Roman"/>
          <w:b/>
          <w:u w:val="single"/>
        </w:rPr>
        <w:t xml:space="preserve">: </w:t>
      </w:r>
      <w:r w:rsidR="005E7133" w:rsidRPr="00B161F6">
        <w:rPr>
          <w:rFonts w:ascii="Times New Roman" w:hAnsi="Times New Roman"/>
          <w:b/>
          <w:u w:val="single"/>
        </w:rPr>
        <w:t>The Investor Habitat</w:t>
      </w:r>
    </w:p>
    <w:p w14:paraId="7BD286A9" w14:textId="77777777" w:rsidR="005E7133" w:rsidRPr="00CF0306" w:rsidRDefault="005E7133" w:rsidP="00CF0306">
      <w:pPr>
        <w:pStyle w:val="ListParagraph"/>
        <w:widowControl w:val="0"/>
        <w:spacing w:after="240"/>
        <w:contextualSpacing w:val="0"/>
        <w:jc w:val="both"/>
        <w:rPr>
          <w:rFonts w:cs="Times New Roman"/>
        </w:rPr>
      </w:pPr>
      <w:r w:rsidRPr="000E56CC">
        <w:rPr>
          <w:rFonts w:ascii="Arial" w:hAnsi="Arial" w:cs="Arial"/>
          <w:b/>
          <w:noProof/>
          <w:lang w:eastAsia="en-US"/>
        </w:rPr>
        <w:drawing>
          <wp:inline distT="0" distB="0" distL="0" distR="0" wp14:anchorId="7AD37DD8" wp14:editId="1E8FCF64">
            <wp:extent cx="5137150" cy="2712720"/>
            <wp:effectExtent l="25400" t="25400" r="19050" b="3048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l="8359" r="11145" b="10137"/>
                    <a:stretch/>
                  </pic:blipFill>
                  <pic:spPr bwMode="auto">
                    <a:xfrm>
                      <a:off x="0" y="0"/>
                      <a:ext cx="5140250" cy="2714357"/>
                    </a:xfrm>
                    <a:prstGeom prst="rect">
                      <a:avLst/>
                    </a:prstGeom>
                    <a:noFill/>
                    <a:ln>
                      <a:solidFill>
                        <a:schemeClr val="tx1"/>
                      </a:solidFill>
                    </a:ln>
                    <a:effectLst/>
                    <a:extLst/>
                  </pic:spPr>
                </pic:pic>
              </a:graphicData>
            </a:graphic>
          </wp:inline>
        </w:drawing>
      </w:r>
    </w:p>
    <w:p w14:paraId="5684FDED" w14:textId="61FAF3C3" w:rsidR="009A44BA" w:rsidRPr="008F7368" w:rsidRDefault="00505084" w:rsidP="009A44BA">
      <w:pPr>
        <w:widowControl w:val="0"/>
        <w:spacing w:after="240"/>
        <w:jc w:val="both"/>
        <w:rPr>
          <w:rFonts w:cs="Times New Roman"/>
          <w:i/>
          <w:u w:val="single"/>
        </w:rPr>
      </w:pPr>
      <w:r w:rsidRPr="008F7368">
        <w:rPr>
          <w:rFonts w:cs="Times New Roman"/>
          <w:i/>
          <w:u w:val="single"/>
        </w:rPr>
        <w:t>Licensed Investment Managers</w:t>
      </w:r>
      <w:r w:rsidR="00CD750D">
        <w:t>-</w:t>
      </w:r>
    </w:p>
    <w:p w14:paraId="470E42BE" w14:textId="277131DB" w:rsidR="009A44BA" w:rsidRDefault="009A44BA" w:rsidP="00F04788">
      <w:pPr>
        <w:pStyle w:val="ListParagraph"/>
        <w:widowControl w:val="0"/>
        <w:numPr>
          <w:ilvl w:val="0"/>
          <w:numId w:val="2"/>
        </w:numPr>
        <w:spacing w:after="240"/>
        <w:ind w:left="0" w:firstLine="0"/>
        <w:contextualSpacing w:val="0"/>
        <w:jc w:val="both"/>
        <w:rPr>
          <w:rFonts w:cs="Times New Roman"/>
        </w:rPr>
      </w:pPr>
      <w:r>
        <w:rPr>
          <w:rFonts w:cs="Times New Roman"/>
        </w:rPr>
        <w:t xml:space="preserve">In PNG </w:t>
      </w:r>
      <w:r w:rsidR="00386E7C">
        <w:rPr>
          <w:rFonts w:cs="Times New Roman"/>
        </w:rPr>
        <w:t xml:space="preserve">there </w:t>
      </w:r>
      <w:r>
        <w:rPr>
          <w:rFonts w:cs="Times New Roman"/>
        </w:rPr>
        <w:t xml:space="preserve">are currently </w:t>
      </w:r>
      <w:r w:rsidR="00A25D5F">
        <w:rPr>
          <w:rFonts w:cs="Times New Roman"/>
        </w:rPr>
        <w:t>five-licensed</w:t>
      </w:r>
      <w:r>
        <w:rPr>
          <w:rFonts w:cs="Times New Roman"/>
        </w:rPr>
        <w:t xml:space="preserve"> investment managers providing investment advi</w:t>
      </w:r>
      <w:r w:rsidR="00386E7C">
        <w:rPr>
          <w:rFonts w:cs="Times New Roman"/>
        </w:rPr>
        <w:t>c</w:t>
      </w:r>
      <w:r>
        <w:rPr>
          <w:rFonts w:cs="Times New Roman"/>
        </w:rPr>
        <w:t xml:space="preserve">e and services to </w:t>
      </w:r>
      <w:r w:rsidR="00386E7C">
        <w:rPr>
          <w:rFonts w:cs="Times New Roman"/>
        </w:rPr>
        <w:t xml:space="preserve">superannuation funds. In addition, these five licensed investment managers plus an unknown number of unlicensed investment advisors provide advice to </w:t>
      </w:r>
      <w:r>
        <w:rPr>
          <w:rFonts w:cs="Times New Roman"/>
        </w:rPr>
        <w:t>individual</w:t>
      </w:r>
      <w:r w:rsidR="00386E7C">
        <w:rPr>
          <w:rFonts w:cs="Times New Roman"/>
        </w:rPr>
        <w:t>,</w:t>
      </w:r>
      <w:r>
        <w:rPr>
          <w:rFonts w:cs="Times New Roman"/>
        </w:rPr>
        <w:t xml:space="preserve"> institutional</w:t>
      </w:r>
      <w:r w:rsidR="00386E7C">
        <w:rPr>
          <w:rFonts w:cs="Times New Roman"/>
        </w:rPr>
        <w:t>, politicians</w:t>
      </w:r>
      <w:r>
        <w:rPr>
          <w:rFonts w:cs="Times New Roman"/>
        </w:rPr>
        <w:t xml:space="preserve"> </w:t>
      </w:r>
      <w:r w:rsidR="00386E7C">
        <w:rPr>
          <w:rFonts w:cs="Times New Roman"/>
        </w:rPr>
        <w:t xml:space="preserve">and government </w:t>
      </w:r>
      <w:r>
        <w:rPr>
          <w:rFonts w:cs="Times New Roman"/>
        </w:rPr>
        <w:t>clients. General areas of specialties are; (</w:t>
      </w:r>
      <w:proofErr w:type="spellStart"/>
      <w:r>
        <w:rPr>
          <w:rFonts w:cs="Times New Roman"/>
        </w:rPr>
        <w:t>i</w:t>
      </w:r>
      <w:proofErr w:type="spellEnd"/>
      <w:r>
        <w:rPr>
          <w:rFonts w:cs="Times New Roman"/>
        </w:rPr>
        <w:t>) c</w:t>
      </w:r>
      <w:r w:rsidR="006D6913">
        <w:rPr>
          <w:rFonts w:cs="Times New Roman"/>
        </w:rPr>
        <w:t>ash term deposits for liquidity;</w:t>
      </w:r>
      <w:r>
        <w:rPr>
          <w:rFonts w:cs="Times New Roman"/>
        </w:rPr>
        <w:t xml:space="preserve"> (ii) fixed income for income</w:t>
      </w:r>
      <w:r w:rsidR="006D6913">
        <w:rPr>
          <w:rFonts w:cs="Times New Roman"/>
        </w:rPr>
        <w:t xml:space="preserve"> generation</w:t>
      </w:r>
      <w:r>
        <w:rPr>
          <w:rFonts w:cs="Times New Roman"/>
        </w:rPr>
        <w:t>, to include; government securities both T-bills</w:t>
      </w:r>
      <w:r w:rsidR="006D6913">
        <w:rPr>
          <w:rFonts w:cs="Times New Roman"/>
        </w:rPr>
        <w:t xml:space="preserve"> and </w:t>
      </w:r>
      <w:r>
        <w:rPr>
          <w:rFonts w:cs="Times New Roman"/>
        </w:rPr>
        <w:t>inscribed stock and corporate debentures,</w:t>
      </w:r>
      <w:r w:rsidR="006D6913">
        <w:rPr>
          <w:rFonts w:cs="Times New Roman"/>
        </w:rPr>
        <w:t xml:space="preserve"> and CBBs; </w:t>
      </w:r>
      <w:r>
        <w:rPr>
          <w:rFonts w:cs="Times New Roman"/>
        </w:rPr>
        <w:t>(iii) Equities for capital growth, to include; listed, unlisted,</w:t>
      </w:r>
      <w:r w:rsidR="006D6913">
        <w:rPr>
          <w:rFonts w:cs="Times New Roman"/>
        </w:rPr>
        <w:t xml:space="preserve"> and dual listed equities;</w:t>
      </w:r>
      <w:r>
        <w:rPr>
          <w:rFonts w:cs="Times New Roman"/>
        </w:rPr>
        <w:t xml:space="preserve"> and (iv) property/real estate for income and capital growth.  </w:t>
      </w:r>
    </w:p>
    <w:p w14:paraId="09233E1B" w14:textId="77777777" w:rsidR="009A44BA" w:rsidRDefault="009A44BA" w:rsidP="00F04788">
      <w:pPr>
        <w:pStyle w:val="ListParagraph"/>
        <w:widowControl w:val="0"/>
        <w:numPr>
          <w:ilvl w:val="0"/>
          <w:numId w:val="2"/>
        </w:numPr>
        <w:spacing w:after="240"/>
        <w:ind w:left="0" w:firstLine="0"/>
        <w:contextualSpacing w:val="0"/>
        <w:jc w:val="both"/>
        <w:rPr>
          <w:rFonts w:cs="Times New Roman"/>
        </w:rPr>
      </w:pPr>
      <w:r>
        <w:rPr>
          <w:rFonts w:cs="Times New Roman"/>
        </w:rPr>
        <w:t>The five licensed investment managers are:</w:t>
      </w:r>
    </w:p>
    <w:p w14:paraId="28124570" w14:textId="77777777" w:rsidR="009A44BA" w:rsidRDefault="009A44BA" w:rsidP="00F04788">
      <w:pPr>
        <w:pStyle w:val="ListParagraph"/>
        <w:widowControl w:val="0"/>
        <w:numPr>
          <w:ilvl w:val="0"/>
          <w:numId w:val="15"/>
        </w:numPr>
        <w:spacing w:after="240"/>
        <w:contextualSpacing w:val="0"/>
        <w:jc w:val="both"/>
        <w:rPr>
          <w:rFonts w:cs="Times New Roman"/>
        </w:rPr>
      </w:pPr>
      <w:r w:rsidRPr="001B70FC">
        <w:rPr>
          <w:rFonts w:cs="Times New Roman"/>
        </w:rPr>
        <w:t>BSP Capital Ltd</w:t>
      </w:r>
      <w:r>
        <w:rPr>
          <w:rFonts w:cs="Times New Roman"/>
        </w:rPr>
        <w:t>;</w:t>
      </w:r>
      <w:r w:rsidRPr="001B70FC">
        <w:rPr>
          <w:rFonts w:cs="Times New Roman"/>
        </w:rPr>
        <w:t xml:space="preserve"> </w:t>
      </w:r>
    </w:p>
    <w:p w14:paraId="5FFE92EE" w14:textId="77777777" w:rsidR="009A44BA" w:rsidRDefault="009A44BA" w:rsidP="00F04788">
      <w:pPr>
        <w:pStyle w:val="ListParagraph"/>
        <w:widowControl w:val="0"/>
        <w:numPr>
          <w:ilvl w:val="0"/>
          <w:numId w:val="15"/>
        </w:numPr>
        <w:spacing w:after="240"/>
        <w:contextualSpacing w:val="0"/>
        <w:jc w:val="both"/>
        <w:rPr>
          <w:rFonts w:cs="Times New Roman"/>
        </w:rPr>
      </w:pPr>
      <w:r w:rsidRPr="001B70FC">
        <w:rPr>
          <w:rFonts w:cs="Times New Roman"/>
        </w:rPr>
        <w:t>Kina Funds Management Ltd</w:t>
      </w:r>
      <w:r>
        <w:rPr>
          <w:rFonts w:cs="Times New Roman"/>
        </w:rPr>
        <w:t>;</w:t>
      </w:r>
      <w:r w:rsidRPr="001B70FC">
        <w:rPr>
          <w:rFonts w:cs="Times New Roman"/>
        </w:rPr>
        <w:t xml:space="preserve"> </w:t>
      </w:r>
    </w:p>
    <w:p w14:paraId="4457ABF9" w14:textId="77777777" w:rsidR="009A44BA" w:rsidRDefault="009A44BA" w:rsidP="00F04788">
      <w:pPr>
        <w:pStyle w:val="ListParagraph"/>
        <w:widowControl w:val="0"/>
        <w:numPr>
          <w:ilvl w:val="0"/>
          <w:numId w:val="15"/>
        </w:numPr>
        <w:spacing w:after="240"/>
        <w:contextualSpacing w:val="0"/>
        <w:jc w:val="both"/>
        <w:rPr>
          <w:rFonts w:cs="Times New Roman"/>
        </w:rPr>
      </w:pPr>
      <w:proofErr w:type="spellStart"/>
      <w:r w:rsidRPr="001B70FC">
        <w:rPr>
          <w:rFonts w:cs="Times New Roman"/>
        </w:rPr>
        <w:t>PacWealth</w:t>
      </w:r>
      <w:proofErr w:type="spellEnd"/>
      <w:r w:rsidRPr="001B70FC">
        <w:rPr>
          <w:rFonts w:cs="Times New Roman"/>
        </w:rPr>
        <w:t xml:space="preserve"> Capital Ltd</w:t>
      </w:r>
      <w:proofErr w:type="gramStart"/>
      <w:r>
        <w:rPr>
          <w:rFonts w:cs="Times New Roman"/>
        </w:rPr>
        <w:t>,;</w:t>
      </w:r>
      <w:proofErr w:type="gramEnd"/>
    </w:p>
    <w:p w14:paraId="726D3E6E" w14:textId="77777777" w:rsidR="009A44BA" w:rsidRDefault="009A44BA" w:rsidP="00F04788">
      <w:pPr>
        <w:pStyle w:val="ListParagraph"/>
        <w:widowControl w:val="0"/>
        <w:numPr>
          <w:ilvl w:val="0"/>
          <w:numId w:val="15"/>
        </w:numPr>
        <w:spacing w:after="240"/>
        <w:contextualSpacing w:val="0"/>
        <w:jc w:val="both"/>
        <w:rPr>
          <w:rFonts w:cs="Times New Roman"/>
        </w:rPr>
      </w:pPr>
      <w:r>
        <w:rPr>
          <w:rFonts w:cs="Times New Roman"/>
        </w:rPr>
        <w:t>Frontier Equities Ltd;</w:t>
      </w:r>
    </w:p>
    <w:p w14:paraId="6400ED08" w14:textId="77777777" w:rsidR="00505084" w:rsidRDefault="009A44BA" w:rsidP="00516C48">
      <w:pPr>
        <w:pStyle w:val="ListParagraph"/>
        <w:widowControl w:val="0"/>
        <w:numPr>
          <w:ilvl w:val="0"/>
          <w:numId w:val="15"/>
        </w:numPr>
        <w:spacing w:after="240"/>
        <w:contextualSpacing w:val="0"/>
        <w:jc w:val="both"/>
        <w:rPr>
          <w:rFonts w:cs="Times New Roman"/>
        </w:rPr>
      </w:pPr>
      <w:r>
        <w:rPr>
          <w:rFonts w:cs="Times New Roman"/>
        </w:rPr>
        <w:t xml:space="preserve"> </w:t>
      </w:r>
      <w:proofErr w:type="spellStart"/>
      <w:r>
        <w:rPr>
          <w:rFonts w:cs="Times New Roman"/>
        </w:rPr>
        <w:t>Niugini</w:t>
      </w:r>
      <w:proofErr w:type="spellEnd"/>
      <w:r>
        <w:rPr>
          <w:rFonts w:cs="Times New Roman"/>
        </w:rPr>
        <w:t xml:space="preserve"> Capital Ltd.</w:t>
      </w:r>
    </w:p>
    <w:p w14:paraId="12923B7A" w14:textId="77777777" w:rsidR="00494B11" w:rsidRPr="00BF2BFB" w:rsidRDefault="00516C48" w:rsidP="00516C48">
      <w:pPr>
        <w:widowControl w:val="0"/>
        <w:spacing w:after="240"/>
        <w:jc w:val="both"/>
        <w:rPr>
          <w:rFonts w:cs="Times New Roman"/>
          <w:i/>
          <w:u w:val="single"/>
        </w:rPr>
      </w:pPr>
      <w:r w:rsidRPr="00BF2BFB">
        <w:rPr>
          <w:rFonts w:cs="Times New Roman"/>
          <w:i/>
          <w:u w:val="single"/>
        </w:rPr>
        <w:t>Recommendations-</w:t>
      </w:r>
    </w:p>
    <w:p w14:paraId="0F007C8F" w14:textId="6DA7799C" w:rsidR="00494B11" w:rsidRDefault="00386E7C" w:rsidP="00494B11">
      <w:pPr>
        <w:pStyle w:val="ListParagraph"/>
        <w:widowControl w:val="0"/>
        <w:numPr>
          <w:ilvl w:val="0"/>
          <w:numId w:val="2"/>
        </w:numPr>
        <w:spacing w:after="240"/>
        <w:ind w:left="0" w:firstLine="0"/>
        <w:contextualSpacing w:val="0"/>
        <w:jc w:val="both"/>
        <w:rPr>
          <w:rFonts w:cs="Times New Roman"/>
        </w:rPr>
      </w:pPr>
      <w:r w:rsidRPr="005035E0">
        <w:rPr>
          <w:rFonts w:cs="Times New Roman"/>
        </w:rPr>
        <w:t>T</w:t>
      </w:r>
      <w:r w:rsidR="00494B11" w:rsidRPr="005035E0">
        <w:rPr>
          <w:rFonts w:cs="Times New Roman"/>
        </w:rPr>
        <w:t>o develop, promote, and provide</w:t>
      </w:r>
      <w:r w:rsidR="00494B11">
        <w:rPr>
          <w:rFonts w:cs="Times New Roman"/>
        </w:rPr>
        <w:t xml:space="preserve"> access into the local market </w:t>
      </w:r>
      <w:r>
        <w:rPr>
          <w:rFonts w:cs="Times New Roman"/>
        </w:rPr>
        <w:t xml:space="preserve">Treasury and the BPNG </w:t>
      </w:r>
      <w:r w:rsidR="00494B11">
        <w:rPr>
          <w:rFonts w:cs="Times New Roman"/>
        </w:rPr>
        <w:t xml:space="preserve">should be </w:t>
      </w:r>
      <w:r>
        <w:rPr>
          <w:rFonts w:cs="Times New Roman"/>
        </w:rPr>
        <w:t xml:space="preserve">targeting </w:t>
      </w:r>
      <w:r w:rsidR="00494B11">
        <w:rPr>
          <w:rFonts w:cs="Times New Roman"/>
        </w:rPr>
        <w:t xml:space="preserve">retail customers, corporate entities, </w:t>
      </w:r>
      <w:r w:rsidR="003A56D2">
        <w:rPr>
          <w:rFonts w:cs="Times New Roman"/>
        </w:rPr>
        <w:t xml:space="preserve">insurance companies, and </w:t>
      </w:r>
      <w:r w:rsidR="00494B11">
        <w:rPr>
          <w:rFonts w:cs="Times New Roman"/>
        </w:rPr>
        <w:t>small and medium sized enterprises</w:t>
      </w:r>
      <w:r>
        <w:rPr>
          <w:rFonts w:cs="Times New Roman"/>
        </w:rPr>
        <w:t>.</w:t>
      </w:r>
      <w:r w:rsidR="00494B11">
        <w:rPr>
          <w:rFonts w:cs="Times New Roman"/>
        </w:rPr>
        <w:t xml:space="preserve"> Registered bidders such as banks and brokers should </w:t>
      </w:r>
      <w:r w:rsidR="00494B11">
        <w:rPr>
          <w:rFonts w:cs="Times New Roman"/>
        </w:rPr>
        <w:lastRenderedPageBreak/>
        <w:t xml:space="preserve">act as intermediaries and facilitate customers primary and secondary transactions. As previously mentioned, Treasury </w:t>
      </w:r>
      <w:r w:rsidR="00F10E22">
        <w:rPr>
          <w:rFonts w:cs="Times New Roman"/>
        </w:rPr>
        <w:t xml:space="preserve">and BPNG </w:t>
      </w:r>
      <w:r w:rsidR="00494B11">
        <w:rPr>
          <w:rFonts w:cs="Times New Roman"/>
        </w:rPr>
        <w:t>should allow for non-competitive bidding in the primary market for these entities.</w:t>
      </w:r>
    </w:p>
    <w:p w14:paraId="20B72722" w14:textId="46F62E4F" w:rsidR="00494B11" w:rsidRDefault="00EB600A" w:rsidP="00516C48">
      <w:pPr>
        <w:pStyle w:val="ListParagraph"/>
        <w:widowControl w:val="0"/>
        <w:numPr>
          <w:ilvl w:val="0"/>
          <w:numId w:val="2"/>
        </w:numPr>
        <w:spacing w:after="240"/>
        <w:ind w:left="0" w:firstLine="0"/>
        <w:contextualSpacing w:val="0"/>
        <w:jc w:val="both"/>
        <w:rPr>
          <w:rFonts w:cs="Times New Roman"/>
        </w:rPr>
      </w:pPr>
      <w:r w:rsidRPr="005035E0">
        <w:rPr>
          <w:rFonts w:cs="Times New Roman"/>
        </w:rPr>
        <w:t>T</w:t>
      </w:r>
      <w:r w:rsidR="005A0B68" w:rsidRPr="005035E0">
        <w:rPr>
          <w:rFonts w:cs="Times New Roman"/>
        </w:rPr>
        <w:t>o attract n</w:t>
      </w:r>
      <w:r w:rsidR="00494B11" w:rsidRPr="005035E0">
        <w:rPr>
          <w:rFonts w:cs="Times New Roman"/>
        </w:rPr>
        <w:t>on-residents</w:t>
      </w:r>
      <w:r w:rsidR="005A0B68">
        <w:rPr>
          <w:rFonts w:cs="Times New Roman"/>
        </w:rPr>
        <w:t xml:space="preserve"> investors into the PNG</w:t>
      </w:r>
      <w:r w:rsidR="00756E08">
        <w:rPr>
          <w:rFonts w:cs="Times New Roman"/>
        </w:rPr>
        <w:t xml:space="preserve"> government securities market</w:t>
      </w:r>
      <w:r>
        <w:rPr>
          <w:rFonts w:cs="Times New Roman"/>
        </w:rPr>
        <w:t>,</w:t>
      </w:r>
      <w:r w:rsidR="00756E08">
        <w:rPr>
          <w:rFonts w:cs="Times New Roman"/>
        </w:rPr>
        <w:t xml:space="preserve"> </w:t>
      </w:r>
      <w:r>
        <w:rPr>
          <w:rFonts w:cs="Times New Roman"/>
        </w:rPr>
        <w:t>Treasury and the BPNG, should</w:t>
      </w:r>
      <w:r w:rsidR="00756E08">
        <w:rPr>
          <w:rFonts w:cs="Times New Roman"/>
        </w:rPr>
        <w:t>: (</w:t>
      </w:r>
      <w:proofErr w:type="spellStart"/>
      <w:r w:rsidR="00756E08">
        <w:rPr>
          <w:rFonts w:cs="Times New Roman"/>
        </w:rPr>
        <w:t>i</w:t>
      </w:r>
      <w:proofErr w:type="spellEnd"/>
      <w:r w:rsidR="00756E08">
        <w:rPr>
          <w:rFonts w:cs="Times New Roman"/>
        </w:rPr>
        <w:t>) updating and</w:t>
      </w:r>
      <w:r w:rsidR="005A0B68">
        <w:rPr>
          <w:rFonts w:cs="Times New Roman"/>
        </w:rPr>
        <w:t xml:space="preserve"> automating the primary market auction s</w:t>
      </w:r>
      <w:r w:rsidR="00756E08">
        <w:rPr>
          <w:rFonts w:cs="Times New Roman"/>
        </w:rPr>
        <w:t xml:space="preserve">ystem; (ii) </w:t>
      </w:r>
      <w:r>
        <w:rPr>
          <w:rFonts w:cs="Times New Roman"/>
        </w:rPr>
        <w:t xml:space="preserve">undertake </w:t>
      </w:r>
      <w:r w:rsidR="005A0B68">
        <w:rPr>
          <w:rFonts w:cs="Times New Roman"/>
        </w:rPr>
        <w:t>government public relations e.g. roadshows</w:t>
      </w:r>
      <w:r w:rsidR="00756E08">
        <w:rPr>
          <w:rFonts w:cs="Times New Roman"/>
        </w:rPr>
        <w:t xml:space="preserve"> and or presentations</w:t>
      </w:r>
      <w:r w:rsidR="005A0B68">
        <w:rPr>
          <w:rFonts w:cs="Times New Roman"/>
        </w:rPr>
        <w:t xml:space="preserve">; </w:t>
      </w:r>
      <w:r w:rsidR="00756E08">
        <w:rPr>
          <w:rFonts w:cs="Times New Roman"/>
        </w:rPr>
        <w:t xml:space="preserve">(iii) </w:t>
      </w:r>
      <w:r w:rsidR="005A0B68">
        <w:rPr>
          <w:rFonts w:cs="Times New Roman"/>
        </w:rPr>
        <w:t xml:space="preserve">clearly disseminate information specifically addressing non-residents </w:t>
      </w:r>
      <w:r w:rsidR="00F10E22">
        <w:rPr>
          <w:rFonts w:cs="Times New Roman"/>
        </w:rPr>
        <w:t xml:space="preserve">questions and </w:t>
      </w:r>
      <w:r w:rsidR="005A0B68">
        <w:rPr>
          <w:rFonts w:cs="Times New Roman"/>
        </w:rPr>
        <w:t xml:space="preserve">investment criteria; </w:t>
      </w:r>
      <w:r w:rsidR="00CC3C61">
        <w:rPr>
          <w:rFonts w:cs="Times New Roman"/>
        </w:rPr>
        <w:t>and (iv) automat</w:t>
      </w:r>
      <w:r>
        <w:rPr>
          <w:rFonts w:cs="Times New Roman"/>
        </w:rPr>
        <w:t>e</w:t>
      </w:r>
      <w:r w:rsidR="00CC3C61">
        <w:rPr>
          <w:rFonts w:cs="Times New Roman"/>
        </w:rPr>
        <w:t xml:space="preserve"> the</w:t>
      </w:r>
      <w:r w:rsidR="005A0B68">
        <w:rPr>
          <w:rFonts w:cs="Times New Roman"/>
        </w:rPr>
        <w:t xml:space="preserve"> clearing and settlement </w:t>
      </w:r>
      <w:r w:rsidR="00CC3C61">
        <w:rPr>
          <w:rFonts w:cs="Times New Roman"/>
        </w:rPr>
        <w:t xml:space="preserve">system </w:t>
      </w:r>
      <w:r w:rsidR="005A0B68">
        <w:rPr>
          <w:rFonts w:cs="Times New Roman"/>
        </w:rPr>
        <w:t>and central depository.</w:t>
      </w:r>
    </w:p>
    <w:p w14:paraId="2D650B22" w14:textId="77777777" w:rsidR="005A0B68" w:rsidRDefault="006D6913" w:rsidP="00516C48">
      <w:pPr>
        <w:pStyle w:val="ListParagraph"/>
        <w:widowControl w:val="0"/>
        <w:numPr>
          <w:ilvl w:val="0"/>
          <w:numId w:val="2"/>
        </w:numPr>
        <w:spacing w:after="240"/>
        <w:ind w:left="0" w:firstLine="0"/>
        <w:contextualSpacing w:val="0"/>
        <w:jc w:val="both"/>
        <w:rPr>
          <w:rFonts w:cs="Times New Roman"/>
        </w:rPr>
      </w:pPr>
      <w:r>
        <w:rPr>
          <w:rFonts w:cs="Times New Roman"/>
        </w:rPr>
        <w:t xml:space="preserve">Treasury, </w:t>
      </w:r>
      <w:r w:rsidR="00EB600A">
        <w:rPr>
          <w:rFonts w:cs="Times New Roman"/>
        </w:rPr>
        <w:t xml:space="preserve">the </w:t>
      </w:r>
      <w:r>
        <w:rPr>
          <w:rFonts w:cs="Times New Roman"/>
        </w:rPr>
        <w:t xml:space="preserve">BPNG, and </w:t>
      </w:r>
      <w:r w:rsidR="00F10E22">
        <w:rPr>
          <w:rFonts w:cs="Times New Roman"/>
        </w:rPr>
        <w:t xml:space="preserve">the </w:t>
      </w:r>
      <w:r>
        <w:rPr>
          <w:rFonts w:cs="Times New Roman"/>
        </w:rPr>
        <w:t xml:space="preserve">market regulator </w:t>
      </w:r>
      <w:r w:rsidR="00F10E22">
        <w:rPr>
          <w:rFonts w:cs="Times New Roman"/>
        </w:rPr>
        <w:t xml:space="preserve">should </w:t>
      </w:r>
      <w:r>
        <w:rPr>
          <w:rFonts w:cs="Times New Roman"/>
        </w:rPr>
        <w:t>promote the creation and e</w:t>
      </w:r>
      <w:r w:rsidR="00505084" w:rsidRPr="00720653">
        <w:rPr>
          <w:rFonts w:cs="Times New Roman"/>
        </w:rPr>
        <w:t>stablish</w:t>
      </w:r>
      <w:r>
        <w:rPr>
          <w:rFonts w:cs="Times New Roman"/>
        </w:rPr>
        <w:t>ment</w:t>
      </w:r>
      <w:r w:rsidR="00505084" w:rsidRPr="00720653">
        <w:rPr>
          <w:rFonts w:cs="Times New Roman"/>
        </w:rPr>
        <w:t xml:space="preserve"> </w:t>
      </w:r>
      <w:r>
        <w:rPr>
          <w:rFonts w:cs="Times New Roman"/>
        </w:rPr>
        <w:t xml:space="preserve">of </w:t>
      </w:r>
      <w:r w:rsidR="00505084" w:rsidRPr="00720653">
        <w:rPr>
          <w:rFonts w:cs="Times New Roman"/>
        </w:rPr>
        <w:t>pools</w:t>
      </w:r>
      <w:r w:rsidR="00505084">
        <w:rPr>
          <w:rFonts w:cs="Times New Roman"/>
        </w:rPr>
        <w:t xml:space="preserve"> of liquidity in the form of market funds to purchase domestic debt securities in the primary and secondary market and to allow small investors to gain access to the domestic debt market through the managed funds. </w:t>
      </w:r>
      <w:r w:rsidR="00505084" w:rsidRPr="00720653">
        <w:rPr>
          <w:rFonts w:cs="Times New Roman"/>
        </w:rPr>
        <w:t>The establishment of unit trusts/money market funds</w:t>
      </w:r>
      <w:r w:rsidR="00505084" w:rsidRPr="00C50CFE">
        <w:rPr>
          <w:rFonts w:cs="Times New Roman"/>
        </w:rPr>
        <w:t xml:space="preserve"> based on government</w:t>
      </w:r>
      <w:r w:rsidR="00505084">
        <w:rPr>
          <w:rFonts w:cs="Times New Roman"/>
        </w:rPr>
        <w:t xml:space="preserve"> </w:t>
      </w:r>
      <w:r w:rsidR="00F10E22">
        <w:rPr>
          <w:rFonts w:cs="Times New Roman"/>
        </w:rPr>
        <w:t xml:space="preserve">and central bank </w:t>
      </w:r>
      <w:r w:rsidR="00505084" w:rsidRPr="00C50CFE">
        <w:rPr>
          <w:rFonts w:cs="Times New Roman"/>
        </w:rPr>
        <w:t>securities would require minimal changes to the regulatory and legal infrastructure.</w:t>
      </w:r>
      <w:r w:rsidR="000438AE">
        <w:rPr>
          <w:rFonts w:cs="Times New Roman"/>
        </w:rPr>
        <w:t xml:space="preserve"> Th</w:t>
      </w:r>
      <w:r w:rsidR="00756E08">
        <w:rPr>
          <w:rFonts w:cs="Times New Roman"/>
        </w:rPr>
        <w:t>e funds would need to consider</w:t>
      </w:r>
      <w:r w:rsidR="000438AE">
        <w:rPr>
          <w:rFonts w:cs="Times New Roman"/>
        </w:rPr>
        <w:t xml:space="preserve"> and install withdrawal requirements and or curbs. These short-term investments would act as alternatives to fixed term deposits, which would likely be the interest of investment management companies and not commercial banks. </w:t>
      </w:r>
    </w:p>
    <w:p w14:paraId="1868F1A5" w14:textId="6D5B5D65" w:rsidR="00CC3C61" w:rsidRDefault="00756E08" w:rsidP="00516C48">
      <w:pPr>
        <w:pStyle w:val="ListParagraph"/>
        <w:widowControl w:val="0"/>
        <w:numPr>
          <w:ilvl w:val="0"/>
          <w:numId w:val="2"/>
        </w:numPr>
        <w:spacing w:after="240"/>
        <w:ind w:left="0" w:firstLine="0"/>
        <w:contextualSpacing w:val="0"/>
        <w:jc w:val="both"/>
        <w:rPr>
          <w:rFonts w:cs="Times New Roman"/>
        </w:rPr>
      </w:pPr>
      <w:r>
        <w:rPr>
          <w:rFonts w:cs="Times New Roman"/>
        </w:rPr>
        <w:t xml:space="preserve">Treasury, FMD, and </w:t>
      </w:r>
      <w:r w:rsidR="00EB600A">
        <w:rPr>
          <w:rFonts w:cs="Times New Roman"/>
        </w:rPr>
        <w:t xml:space="preserve">the </w:t>
      </w:r>
      <w:r>
        <w:rPr>
          <w:rFonts w:cs="Times New Roman"/>
        </w:rPr>
        <w:t xml:space="preserve">BPNG </w:t>
      </w:r>
      <w:r w:rsidR="00CC3C61">
        <w:rPr>
          <w:rFonts w:cs="Times New Roman"/>
        </w:rPr>
        <w:t xml:space="preserve">should </w:t>
      </w:r>
      <w:r>
        <w:rPr>
          <w:rFonts w:cs="Times New Roman"/>
        </w:rPr>
        <w:t xml:space="preserve">factor into domestic debt issuance planning the investor base habitat, </w:t>
      </w:r>
      <w:r w:rsidR="00EB600A">
        <w:rPr>
          <w:rFonts w:cs="Times New Roman"/>
        </w:rPr>
        <w:t xml:space="preserve">see </w:t>
      </w:r>
      <w:r>
        <w:rPr>
          <w:rFonts w:cs="Times New Roman"/>
        </w:rPr>
        <w:t xml:space="preserve">Figure 10, and the demands that exist </w:t>
      </w:r>
      <w:r w:rsidR="00CC3C61">
        <w:rPr>
          <w:rFonts w:cs="Times New Roman"/>
        </w:rPr>
        <w:t xml:space="preserve">along the yield curve spectrum from each different class of investors. </w:t>
      </w:r>
      <w:r w:rsidR="00EB600A" w:rsidRPr="00EB600A">
        <w:rPr>
          <w:rFonts w:cs="Times New Roman"/>
        </w:rPr>
        <w:t xml:space="preserve">Treasury, FMD, and the BPNG </w:t>
      </w:r>
      <w:r w:rsidR="00EB600A">
        <w:rPr>
          <w:rFonts w:cs="Times New Roman"/>
        </w:rPr>
        <w:t>should f</w:t>
      </w:r>
      <w:r w:rsidR="00CC3C61">
        <w:rPr>
          <w:rFonts w:cs="Times New Roman"/>
        </w:rPr>
        <w:t xml:space="preserve">acilitate market dialogue with the investors to ascertain their demands, asset liability needs and or constraints, and like amounts of capital willing to invest. This analysis of demand could be complimented with feedback and suggestions from the proposed Dealer Advisory Panel. </w:t>
      </w:r>
    </w:p>
    <w:p w14:paraId="0D0AF5B3" w14:textId="52B37A90" w:rsidR="00F10E22" w:rsidRDefault="009243A9" w:rsidP="00516C48">
      <w:pPr>
        <w:pStyle w:val="ListParagraph"/>
        <w:widowControl w:val="0"/>
        <w:numPr>
          <w:ilvl w:val="0"/>
          <w:numId w:val="2"/>
        </w:numPr>
        <w:spacing w:after="240"/>
        <w:ind w:left="0" w:firstLine="0"/>
        <w:contextualSpacing w:val="0"/>
        <w:jc w:val="both"/>
        <w:rPr>
          <w:rFonts w:cs="Times New Roman"/>
        </w:rPr>
      </w:pPr>
      <w:r>
        <w:rPr>
          <w:rFonts w:cs="Times New Roman"/>
        </w:rPr>
        <w:t>Treasury</w:t>
      </w:r>
      <w:r w:rsidR="00F10E22">
        <w:rPr>
          <w:rFonts w:cs="Times New Roman"/>
        </w:rPr>
        <w:t xml:space="preserve">, FMD, and </w:t>
      </w:r>
      <w:r w:rsidR="00EB600A">
        <w:rPr>
          <w:rFonts w:cs="Times New Roman"/>
        </w:rPr>
        <w:t xml:space="preserve">the </w:t>
      </w:r>
      <w:r w:rsidR="00F10E22">
        <w:rPr>
          <w:rFonts w:cs="Times New Roman"/>
        </w:rPr>
        <w:t>BPNG should take the same approach</w:t>
      </w:r>
      <w:r>
        <w:rPr>
          <w:rFonts w:cs="Times New Roman"/>
        </w:rPr>
        <w:t xml:space="preserve">, to the previous paragraph, but with the view, in the medium-term, to promote and facilitate the potential domestic issuance of private sector corporates and </w:t>
      </w:r>
      <w:r w:rsidR="00A25D5F">
        <w:rPr>
          <w:rFonts w:cs="Times New Roman"/>
        </w:rPr>
        <w:t>State Owned Enterprises (</w:t>
      </w:r>
      <w:r>
        <w:rPr>
          <w:rFonts w:cs="Times New Roman"/>
        </w:rPr>
        <w:t>SOE</w:t>
      </w:r>
      <w:r w:rsidR="00A25D5F">
        <w:rPr>
          <w:rFonts w:cs="Times New Roman"/>
        </w:rPr>
        <w:t>s)</w:t>
      </w:r>
      <w:r>
        <w:rPr>
          <w:rFonts w:cs="Times New Roman"/>
        </w:rPr>
        <w:t xml:space="preserve"> fixed income securities e.g. commercial paper, certificates of deposit (money market products), and bonds. This would require a well functioning government yield curve for price discovery. This would in the medium to long term provide the investor base with more diverse </w:t>
      </w:r>
      <w:r w:rsidR="0042707A">
        <w:rPr>
          <w:rFonts w:cs="Times New Roman"/>
        </w:rPr>
        <w:t xml:space="preserve">and different </w:t>
      </w:r>
      <w:r>
        <w:rPr>
          <w:rFonts w:cs="Times New Roman"/>
        </w:rPr>
        <w:t xml:space="preserve">instruments to </w:t>
      </w:r>
      <w:r w:rsidR="0042707A">
        <w:rPr>
          <w:rFonts w:cs="Times New Roman"/>
        </w:rPr>
        <w:t>consider for their portfolio.</w:t>
      </w:r>
    </w:p>
    <w:p w14:paraId="788094B0" w14:textId="77777777" w:rsidR="00AE4DD6" w:rsidRPr="00720653" w:rsidRDefault="00C65B05" w:rsidP="00720653">
      <w:pPr>
        <w:pStyle w:val="ListParagraph"/>
        <w:widowControl w:val="0"/>
        <w:spacing w:after="240"/>
        <w:ind w:left="0"/>
        <w:contextualSpacing w:val="0"/>
        <w:jc w:val="center"/>
        <w:rPr>
          <w:rFonts w:cs="Times New Roman"/>
          <w:b/>
        </w:rPr>
      </w:pPr>
      <w:r w:rsidRPr="00720653">
        <w:rPr>
          <w:rFonts w:cs="Times New Roman"/>
          <w:b/>
        </w:rPr>
        <w:t>H</w:t>
      </w:r>
      <w:r w:rsidR="005A67B4" w:rsidRPr="00720653">
        <w:rPr>
          <w:rFonts w:cs="Times New Roman"/>
          <w:b/>
        </w:rPr>
        <w:t xml:space="preserve">. </w:t>
      </w:r>
      <w:r w:rsidR="00AE4DD6" w:rsidRPr="00720653">
        <w:rPr>
          <w:rFonts w:cs="Times New Roman"/>
          <w:b/>
        </w:rPr>
        <w:t>Secondary Market</w:t>
      </w:r>
    </w:p>
    <w:p w14:paraId="77D51AC5" w14:textId="77777777" w:rsidR="002A1A36" w:rsidRPr="002A1A36" w:rsidRDefault="002A1A36" w:rsidP="002A1A36">
      <w:pPr>
        <w:pStyle w:val="ListParagraph"/>
        <w:widowControl w:val="0"/>
        <w:numPr>
          <w:ilvl w:val="0"/>
          <w:numId w:val="2"/>
        </w:numPr>
        <w:spacing w:after="240"/>
        <w:ind w:left="0" w:firstLine="0"/>
        <w:contextualSpacing w:val="0"/>
        <w:jc w:val="both"/>
      </w:pPr>
      <w:r>
        <w:t>T</w:t>
      </w:r>
      <w:r w:rsidRPr="00D80090">
        <w:t xml:space="preserve">he development of a secondary market for government securities is a considerable </w:t>
      </w:r>
      <w:r w:rsidR="00790BC6">
        <w:t xml:space="preserve">challenge for most emerging, </w:t>
      </w:r>
      <w:r w:rsidRPr="00D80090">
        <w:t>developing</w:t>
      </w:r>
      <w:r w:rsidR="00790BC6">
        <w:t>, and even developed</w:t>
      </w:r>
      <w:r w:rsidRPr="00D80090">
        <w:t xml:space="preserve"> markets. In nascent markets where the presence of an efficient and well functioning primary market already exists (the precursor to secondary market development), secondary market transactions can be highly inactive. Generally speaking investor’s and intermediary’s investment and trading behaviors are the major factors in secondary market liquidity or illiquidity. </w:t>
      </w:r>
    </w:p>
    <w:p w14:paraId="4570FB11" w14:textId="4A71D38F" w:rsidR="0023115C" w:rsidRDefault="002A1A36" w:rsidP="00F04788">
      <w:pPr>
        <w:pStyle w:val="ListParagraph"/>
        <w:widowControl w:val="0"/>
        <w:numPr>
          <w:ilvl w:val="0"/>
          <w:numId w:val="2"/>
        </w:numPr>
        <w:spacing w:after="240"/>
        <w:ind w:left="0" w:firstLine="0"/>
        <w:contextualSpacing w:val="0"/>
        <w:jc w:val="both"/>
        <w:rPr>
          <w:rFonts w:cs="Times New Roman"/>
        </w:rPr>
      </w:pPr>
      <w:r w:rsidRPr="00D80090">
        <w:lastRenderedPageBreak/>
        <w:t>The present condition in the PNG government securities mark</w:t>
      </w:r>
      <w:r>
        <w:t xml:space="preserve">et is purely </w:t>
      </w:r>
      <w:r w:rsidRPr="00D80090">
        <w:t xml:space="preserve">asset-liability management. Thus </w:t>
      </w:r>
      <w:r w:rsidR="00EB600A">
        <w:t xml:space="preserve">it is </w:t>
      </w:r>
      <w:r w:rsidRPr="00D80090">
        <w:t xml:space="preserve">a one-way “buy and hold” approach to investing in </w:t>
      </w:r>
      <w:r>
        <w:t>T</w:t>
      </w:r>
      <w:r w:rsidRPr="00720653">
        <w:rPr>
          <w:rFonts w:cs="Times New Roman"/>
        </w:rPr>
        <w:t>-bills, Central Bank bills, and Government Inscribed Stock</w:t>
      </w:r>
      <w:r w:rsidRPr="00D80090">
        <w:t xml:space="preserve"> prevails. </w:t>
      </w:r>
      <w:r>
        <w:rPr>
          <w:rFonts w:cs="Times New Roman"/>
        </w:rPr>
        <w:t>Given this</w:t>
      </w:r>
      <w:r w:rsidR="0023115C" w:rsidRPr="00720653">
        <w:rPr>
          <w:rFonts w:cs="Times New Roman"/>
        </w:rPr>
        <w:t xml:space="preserve"> “buy and hold” investment behavior of banks and </w:t>
      </w:r>
      <w:r w:rsidR="00EB600A">
        <w:rPr>
          <w:rFonts w:cs="Times New Roman"/>
        </w:rPr>
        <w:t>superannuation</w:t>
      </w:r>
      <w:r w:rsidR="0023115C" w:rsidRPr="00720653">
        <w:rPr>
          <w:rFonts w:cs="Times New Roman"/>
        </w:rPr>
        <w:t xml:space="preserve"> funds</w:t>
      </w:r>
      <w:r>
        <w:rPr>
          <w:rFonts w:cs="Times New Roman"/>
        </w:rPr>
        <w:t>,</w:t>
      </w:r>
      <w:r w:rsidR="0023115C" w:rsidRPr="00720653">
        <w:rPr>
          <w:rFonts w:cs="Times New Roman"/>
        </w:rPr>
        <w:t xml:space="preserve"> the only occasion for a secondary transaction to take place is merely for adjusting their cash position</w:t>
      </w:r>
      <w:r>
        <w:rPr>
          <w:rFonts w:cs="Times New Roman"/>
        </w:rPr>
        <w:t xml:space="preserve">. </w:t>
      </w:r>
      <w:r w:rsidR="0023115C" w:rsidRPr="00720653">
        <w:rPr>
          <w:rFonts w:cs="Times New Roman"/>
        </w:rPr>
        <w:t xml:space="preserve">Thus, the transactions, which </w:t>
      </w:r>
      <w:r>
        <w:rPr>
          <w:rFonts w:cs="Times New Roman"/>
        </w:rPr>
        <w:t xml:space="preserve">rarely </w:t>
      </w:r>
      <w:r w:rsidR="0023115C" w:rsidRPr="00720653">
        <w:rPr>
          <w:rFonts w:cs="Times New Roman"/>
        </w:rPr>
        <w:t xml:space="preserve">do occur, are need based and not </w:t>
      </w:r>
      <w:r w:rsidR="00477C9E">
        <w:rPr>
          <w:rFonts w:cs="Times New Roman"/>
        </w:rPr>
        <w:t xml:space="preserve">opportunistic. </w:t>
      </w:r>
    </w:p>
    <w:p w14:paraId="1A5C8CA0" w14:textId="0BCDE859" w:rsidR="000D73CE" w:rsidRPr="00C8158C" w:rsidRDefault="000D73CE" w:rsidP="000D73CE">
      <w:pPr>
        <w:pStyle w:val="ListParagraph"/>
        <w:widowControl w:val="0"/>
        <w:numPr>
          <w:ilvl w:val="0"/>
          <w:numId w:val="2"/>
        </w:numPr>
        <w:spacing w:after="240"/>
        <w:ind w:left="0" w:firstLine="0"/>
        <w:contextualSpacing w:val="0"/>
        <w:jc w:val="both"/>
        <w:rPr>
          <w:rFonts w:cs="Times New Roman"/>
        </w:rPr>
      </w:pPr>
      <w:r>
        <w:rPr>
          <w:rFonts w:cs="Times New Roman"/>
        </w:rPr>
        <w:t>The limited number of intermediar</w:t>
      </w:r>
      <w:r w:rsidR="00790BC6">
        <w:rPr>
          <w:rFonts w:cs="Times New Roman"/>
        </w:rPr>
        <w:t xml:space="preserve">ies, </w:t>
      </w:r>
      <w:r w:rsidR="00EB600A">
        <w:rPr>
          <w:rFonts w:cs="Times New Roman"/>
        </w:rPr>
        <w:t>three</w:t>
      </w:r>
      <w:r>
        <w:rPr>
          <w:rFonts w:cs="Times New Roman"/>
        </w:rPr>
        <w:t xml:space="preserve"> banks, and the non-existent service of secondary market-making functions greatly undermine any potential secondary transactions. Similarly, given t</w:t>
      </w:r>
      <w:r w:rsidR="00C8158C">
        <w:rPr>
          <w:rFonts w:cs="Times New Roman"/>
        </w:rPr>
        <w:t>he narrow investor base,</w:t>
      </w:r>
      <w:r>
        <w:rPr>
          <w:rFonts w:cs="Times New Roman"/>
        </w:rPr>
        <w:t xml:space="preserve"> coupled wi</w:t>
      </w:r>
      <w:r w:rsidR="00C8158C">
        <w:rPr>
          <w:rFonts w:cs="Times New Roman"/>
        </w:rPr>
        <w:t xml:space="preserve">th similar investment behaviors, </w:t>
      </w:r>
      <w:r>
        <w:rPr>
          <w:rFonts w:cs="Times New Roman"/>
        </w:rPr>
        <w:t xml:space="preserve">contributes to limited reason to transact. Thus, as previously mentioned, the investor base must be expanded by allowing and facilitating access to the domestic market for varied investor classes with different time horizons and risk tolerances. </w:t>
      </w:r>
    </w:p>
    <w:p w14:paraId="6B8B9A9B" w14:textId="7557582C" w:rsidR="00490D68" w:rsidRPr="00C8158C" w:rsidRDefault="0023115C" w:rsidP="00842967">
      <w:pPr>
        <w:pStyle w:val="ListParagraph"/>
        <w:widowControl w:val="0"/>
        <w:numPr>
          <w:ilvl w:val="0"/>
          <w:numId w:val="2"/>
        </w:numPr>
        <w:spacing w:after="240"/>
        <w:ind w:left="0" w:firstLine="0"/>
        <w:contextualSpacing w:val="0"/>
        <w:jc w:val="both"/>
        <w:rPr>
          <w:rFonts w:cs="Times New Roman"/>
        </w:rPr>
      </w:pPr>
      <w:r w:rsidRPr="00720653">
        <w:rPr>
          <w:rFonts w:cs="Times New Roman"/>
        </w:rPr>
        <w:t xml:space="preserve">The secondary market for </w:t>
      </w:r>
      <w:r w:rsidR="002A1A36">
        <w:rPr>
          <w:rFonts w:cs="Times New Roman"/>
        </w:rPr>
        <w:t xml:space="preserve">PNG </w:t>
      </w:r>
      <w:r w:rsidRPr="00720653">
        <w:rPr>
          <w:rFonts w:cs="Times New Roman"/>
        </w:rPr>
        <w:t xml:space="preserve">government debt securities </w:t>
      </w:r>
      <w:r w:rsidR="002A1A36">
        <w:rPr>
          <w:rFonts w:cs="Times New Roman"/>
        </w:rPr>
        <w:t xml:space="preserve">and CBBs </w:t>
      </w:r>
      <w:r w:rsidRPr="00720653">
        <w:rPr>
          <w:rFonts w:cs="Times New Roman"/>
        </w:rPr>
        <w:t>can be characterized as phone based over-the-counter amongst commercial banks and investors. Market supervision of T-bills, Central bank bills, and Inscribed Stock is under the authority of the B</w:t>
      </w:r>
      <w:r w:rsidR="00EB600A">
        <w:rPr>
          <w:rFonts w:cs="Times New Roman"/>
        </w:rPr>
        <w:t>PNG</w:t>
      </w:r>
      <w:r w:rsidRPr="00720653">
        <w:rPr>
          <w:rFonts w:cs="Times New Roman"/>
        </w:rPr>
        <w:t>.</w:t>
      </w:r>
      <w:r w:rsidR="00842967">
        <w:rPr>
          <w:rFonts w:cs="Times New Roman"/>
        </w:rPr>
        <w:t xml:space="preserve"> </w:t>
      </w:r>
      <w:r w:rsidR="00490D68" w:rsidRPr="00D80090">
        <w:t xml:space="preserve">Government securities are not listed </w:t>
      </w:r>
      <w:r w:rsidR="00C8158C">
        <w:t xml:space="preserve">or traded on the stock exchange and there appears to be little advantage to do so. </w:t>
      </w:r>
    </w:p>
    <w:p w14:paraId="65B72D42" w14:textId="77777777" w:rsidR="00C8158C" w:rsidRPr="00C8158C" w:rsidRDefault="00C8158C" w:rsidP="00C8158C">
      <w:pPr>
        <w:pStyle w:val="ListParagraph"/>
        <w:widowControl w:val="0"/>
        <w:numPr>
          <w:ilvl w:val="0"/>
          <w:numId w:val="2"/>
        </w:numPr>
        <w:spacing w:after="240"/>
        <w:ind w:left="0" w:firstLine="0"/>
        <w:contextualSpacing w:val="0"/>
        <w:jc w:val="both"/>
        <w:rPr>
          <w:rFonts w:cs="Times New Roman"/>
        </w:rPr>
      </w:pPr>
      <w:r>
        <w:rPr>
          <w:rFonts w:cs="Times New Roman"/>
        </w:rPr>
        <w:t xml:space="preserve">The stock exchange has an electronic trading system, which is in need of updating and upgrading, and can accommodate listing of government and corporate securities but at present only one corporate security is listed. </w:t>
      </w:r>
    </w:p>
    <w:p w14:paraId="3F502E0B" w14:textId="77777777" w:rsidR="00477C9E" w:rsidRDefault="00DC71D2" w:rsidP="00842967">
      <w:pPr>
        <w:pStyle w:val="ListParagraph"/>
        <w:widowControl w:val="0"/>
        <w:numPr>
          <w:ilvl w:val="0"/>
          <w:numId w:val="2"/>
        </w:numPr>
        <w:spacing w:after="240"/>
        <w:ind w:left="0" w:firstLine="0"/>
        <w:contextualSpacing w:val="0"/>
        <w:jc w:val="both"/>
        <w:rPr>
          <w:rFonts w:cs="Times New Roman"/>
        </w:rPr>
      </w:pPr>
      <w:r w:rsidRPr="00D80090">
        <w:t>Commercial banks in developing markets play a lead role and have a slight comparative advantage in the government securities markets due to their balance sheet strength, internal infrastructure, being a member of the central ba</w:t>
      </w:r>
      <w:r w:rsidR="006F79F2">
        <w:t>nk’s payment</w:t>
      </w:r>
      <w:r w:rsidR="00C8158C">
        <w:t xml:space="preserve"> system</w:t>
      </w:r>
      <w:r w:rsidR="006F79F2">
        <w:t xml:space="preserve">, </w:t>
      </w:r>
      <w:r w:rsidR="00C8158C">
        <w:t xml:space="preserve">having </w:t>
      </w:r>
      <w:r w:rsidR="006F79F2">
        <w:t xml:space="preserve">access to </w:t>
      </w:r>
      <w:r w:rsidRPr="00D80090">
        <w:t xml:space="preserve">primary auctions, and a wide client base. </w:t>
      </w:r>
      <w:r w:rsidR="00477C9E">
        <w:rPr>
          <w:rFonts w:cs="Times New Roman"/>
        </w:rPr>
        <w:t xml:space="preserve">Commercial banks have a dual role </w:t>
      </w:r>
      <w:r w:rsidR="00C8158C">
        <w:rPr>
          <w:rFonts w:cs="Times New Roman"/>
        </w:rPr>
        <w:t xml:space="preserve">to play </w:t>
      </w:r>
      <w:r w:rsidR="00477C9E">
        <w:rPr>
          <w:rFonts w:cs="Times New Roman"/>
        </w:rPr>
        <w:t>as both major investors and intermediaries. These dual roles may conflict in periods of excess li</w:t>
      </w:r>
      <w:r w:rsidR="00883189">
        <w:rPr>
          <w:rFonts w:cs="Times New Roman"/>
        </w:rPr>
        <w:t xml:space="preserve">quidity as </w:t>
      </w:r>
      <w:r w:rsidR="00477C9E">
        <w:rPr>
          <w:rFonts w:cs="Times New Roman"/>
        </w:rPr>
        <w:t>t</w:t>
      </w:r>
      <w:r w:rsidR="0085776E">
        <w:rPr>
          <w:rFonts w:cs="Times New Roman"/>
        </w:rPr>
        <w:t xml:space="preserve">he greater the portion of auction tenders </w:t>
      </w:r>
      <w:r w:rsidR="00883189">
        <w:rPr>
          <w:rFonts w:cs="Times New Roman"/>
        </w:rPr>
        <w:t xml:space="preserve">are </w:t>
      </w:r>
      <w:r w:rsidR="0085776E">
        <w:rPr>
          <w:rFonts w:cs="Times New Roman"/>
        </w:rPr>
        <w:t>awarded to the bank’s client base</w:t>
      </w:r>
      <w:r w:rsidR="00477C9E">
        <w:rPr>
          <w:rFonts w:cs="Times New Roman"/>
        </w:rPr>
        <w:t>, the smaller the portion that is availa</w:t>
      </w:r>
      <w:r w:rsidR="00883189">
        <w:rPr>
          <w:rFonts w:cs="Times New Roman"/>
        </w:rPr>
        <w:t xml:space="preserve">ble for the bank’s </w:t>
      </w:r>
      <w:r w:rsidR="007B7DB1">
        <w:rPr>
          <w:rFonts w:cs="Times New Roman"/>
        </w:rPr>
        <w:t>portfolio</w:t>
      </w:r>
      <w:r w:rsidR="00477C9E">
        <w:rPr>
          <w:rFonts w:cs="Times New Roman"/>
        </w:rPr>
        <w:t>.</w:t>
      </w:r>
    </w:p>
    <w:p w14:paraId="02033983" w14:textId="32DE98E1" w:rsidR="007B7DB1" w:rsidRPr="007B7DB1" w:rsidRDefault="00EB600A" w:rsidP="007B7DB1">
      <w:pPr>
        <w:pStyle w:val="ListParagraph"/>
        <w:widowControl w:val="0"/>
        <w:numPr>
          <w:ilvl w:val="0"/>
          <w:numId w:val="2"/>
        </w:numPr>
        <w:spacing w:after="240"/>
        <w:ind w:left="0" w:firstLine="0"/>
        <w:contextualSpacing w:val="0"/>
        <w:jc w:val="both"/>
        <w:rPr>
          <w:rFonts w:cs="Times New Roman"/>
        </w:rPr>
      </w:pPr>
      <w:r>
        <w:rPr>
          <w:rFonts w:cs="Times New Roman"/>
        </w:rPr>
        <w:t>In the longer term, b</w:t>
      </w:r>
      <w:r w:rsidR="007B7DB1" w:rsidRPr="007B7DB1">
        <w:rPr>
          <w:rFonts w:cs="Times New Roman"/>
        </w:rPr>
        <w:t xml:space="preserve">rokers </w:t>
      </w:r>
      <w:r w:rsidR="007B7DB1">
        <w:rPr>
          <w:rFonts w:cs="Times New Roman"/>
        </w:rPr>
        <w:t xml:space="preserve">similarly </w:t>
      </w:r>
      <w:r w:rsidR="007B7DB1" w:rsidRPr="007B7DB1">
        <w:rPr>
          <w:rFonts w:cs="Times New Roman"/>
        </w:rPr>
        <w:t>could play an active role in the government securities market going</w:t>
      </w:r>
      <w:r w:rsidR="007B7DB1">
        <w:rPr>
          <w:rFonts w:cs="Times New Roman"/>
        </w:rPr>
        <w:t xml:space="preserve"> </w:t>
      </w:r>
      <w:r w:rsidR="007B7DB1" w:rsidRPr="007B7DB1">
        <w:rPr>
          <w:rFonts w:cs="Times New Roman"/>
        </w:rPr>
        <w:t>forward provided they are adequately regulated</w:t>
      </w:r>
      <w:r>
        <w:rPr>
          <w:rFonts w:cs="Times New Roman"/>
        </w:rPr>
        <w:t xml:space="preserve"> and supervised</w:t>
      </w:r>
      <w:r w:rsidR="007B7DB1" w:rsidRPr="007B7DB1">
        <w:rPr>
          <w:rFonts w:cs="Times New Roman"/>
        </w:rPr>
        <w:t>.</w:t>
      </w:r>
      <w:r w:rsidR="007B7DB1" w:rsidRPr="007B7DB1">
        <w:rPr>
          <w:rFonts w:cs="Times New Roman"/>
          <w:sz w:val="16"/>
          <w:szCs w:val="16"/>
        </w:rPr>
        <w:t xml:space="preserve"> </w:t>
      </w:r>
      <w:r w:rsidR="007B7DB1">
        <w:rPr>
          <w:rFonts w:cs="Times New Roman"/>
          <w:sz w:val="16"/>
          <w:szCs w:val="16"/>
        </w:rPr>
        <w:t xml:space="preserve"> </w:t>
      </w:r>
      <w:r w:rsidR="007B7DB1">
        <w:rPr>
          <w:rFonts w:cs="Times New Roman"/>
        </w:rPr>
        <w:t>B</w:t>
      </w:r>
      <w:r w:rsidR="007B7DB1" w:rsidRPr="007B7DB1">
        <w:rPr>
          <w:rFonts w:cs="Times New Roman"/>
        </w:rPr>
        <w:t>rokers could assist in the</w:t>
      </w:r>
      <w:r w:rsidR="007B7DB1">
        <w:rPr>
          <w:rFonts w:cs="Times New Roman"/>
        </w:rPr>
        <w:t xml:space="preserve"> </w:t>
      </w:r>
      <w:r w:rsidR="007B7DB1" w:rsidRPr="007B7DB1">
        <w:rPr>
          <w:rFonts w:cs="Times New Roman"/>
        </w:rPr>
        <w:t xml:space="preserve">collection of bids </w:t>
      </w:r>
      <w:r w:rsidR="007B7DB1">
        <w:rPr>
          <w:rFonts w:cs="Times New Roman"/>
        </w:rPr>
        <w:t xml:space="preserve">to be tendered, non-competitively or competitively, </w:t>
      </w:r>
      <w:r w:rsidR="007B7DB1" w:rsidRPr="007B7DB1">
        <w:rPr>
          <w:rFonts w:cs="Times New Roman"/>
        </w:rPr>
        <w:t xml:space="preserve">in the primary market </w:t>
      </w:r>
      <w:r w:rsidR="007B7DB1">
        <w:rPr>
          <w:rFonts w:cs="Times New Roman"/>
        </w:rPr>
        <w:t xml:space="preserve">auctions and help develop capacity and </w:t>
      </w:r>
      <w:r w:rsidR="007B7DB1" w:rsidRPr="007B7DB1">
        <w:rPr>
          <w:rFonts w:cs="Times New Roman"/>
        </w:rPr>
        <w:t>educ</w:t>
      </w:r>
      <w:r w:rsidR="007B7DB1">
        <w:rPr>
          <w:rFonts w:cs="Times New Roman"/>
        </w:rPr>
        <w:t xml:space="preserve">ation of potential </w:t>
      </w:r>
      <w:r w:rsidR="007B7DB1" w:rsidRPr="007B7DB1">
        <w:rPr>
          <w:rFonts w:cs="Times New Roman"/>
        </w:rPr>
        <w:t xml:space="preserve">retail </w:t>
      </w:r>
      <w:r w:rsidR="007B7DB1">
        <w:rPr>
          <w:rFonts w:cs="Times New Roman"/>
        </w:rPr>
        <w:t xml:space="preserve">and small corporate </w:t>
      </w:r>
      <w:r w:rsidR="007B7DB1" w:rsidRPr="007B7DB1">
        <w:rPr>
          <w:rFonts w:cs="Times New Roman"/>
        </w:rPr>
        <w:t>investors</w:t>
      </w:r>
      <w:r w:rsidR="007B7DB1">
        <w:rPr>
          <w:rFonts w:cs="Times New Roman"/>
        </w:rPr>
        <w:t>.</w:t>
      </w:r>
    </w:p>
    <w:p w14:paraId="50C1FE14" w14:textId="209BC42F" w:rsidR="00490D68" w:rsidRPr="00D80090" w:rsidRDefault="006F79F2" w:rsidP="00490D68">
      <w:pPr>
        <w:pStyle w:val="ListParagraph"/>
        <w:widowControl w:val="0"/>
        <w:numPr>
          <w:ilvl w:val="0"/>
          <w:numId w:val="29"/>
        </w:numPr>
        <w:spacing w:after="240"/>
        <w:ind w:left="0" w:firstLine="0"/>
        <w:contextualSpacing w:val="0"/>
        <w:jc w:val="both"/>
      </w:pPr>
      <w:r>
        <w:t>G</w:t>
      </w:r>
      <w:r w:rsidR="00490D68" w:rsidRPr="00D80090">
        <w:t>reater liquidity and efficiencies of the secondary market potentially benefits the primary issuance of government securities with high bid-to-cover-ratios</w:t>
      </w:r>
      <w:r w:rsidR="00490D68" w:rsidRPr="00EE0015">
        <w:rPr>
          <w:rStyle w:val="FootnoteReference"/>
          <w:rFonts w:ascii="Arial" w:hAnsi="Arial" w:cs="Arial"/>
        </w:rPr>
        <w:footnoteReference w:id="21"/>
      </w:r>
      <w:r w:rsidR="00490D68" w:rsidRPr="00D80090">
        <w:t>, elimination of failed auctions</w:t>
      </w:r>
      <w:r w:rsidR="00490D68" w:rsidRPr="00EE0015">
        <w:rPr>
          <w:rStyle w:val="FootnoteReference"/>
          <w:rFonts w:ascii="Arial" w:hAnsi="Arial" w:cs="Arial"/>
        </w:rPr>
        <w:footnoteReference w:id="22"/>
      </w:r>
      <w:r w:rsidR="00490D68" w:rsidRPr="00D80090">
        <w:t>, and cost minimization</w:t>
      </w:r>
      <w:r>
        <w:t xml:space="preserve"> over the long term</w:t>
      </w:r>
      <w:r w:rsidR="00490D68" w:rsidRPr="00D80090">
        <w:t xml:space="preserve">. </w:t>
      </w:r>
      <w:r>
        <w:t>However, the development of the secondary market is highly dependent on the government’s development of the primary market and issuance strategies to buil</w:t>
      </w:r>
      <w:r w:rsidR="00906B5A">
        <w:t>d</w:t>
      </w:r>
      <w:r>
        <w:t xml:space="preserve"> up the government yield curve with adequate benchmark series. </w:t>
      </w:r>
      <w:r w:rsidRPr="0085776E">
        <w:rPr>
          <w:i/>
        </w:rPr>
        <w:t>Please refer to primary market section.</w:t>
      </w:r>
    </w:p>
    <w:p w14:paraId="3D3D148B" w14:textId="56393CE4" w:rsidR="00490D68" w:rsidRPr="00490D68" w:rsidRDefault="0085776E" w:rsidP="00490D68">
      <w:pPr>
        <w:pStyle w:val="ListParagraph"/>
        <w:widowControl w:val="0"/>
        <w:numPr>
          <w:ilvl w:val="0"/>
          <w:numId w:val="29"/>
        </w:numPr>
        <w:spacing w:after="240"/>
        <w:ind w:left="0" w:firstLine="0"/>
        <w:contextualSpacing w:val="0"/>
        <w:jc w:val="both"/>
      </w:pPr>
      <w:r>
        <w:lastRenderedPageBreak/>
        <w:t xml:space="preserve">A developing domestic bond </w:t>
      </w:r>
      <w:r w:rsidR="00490D68" w:rsidRPr="00D80090">
        <w:t>market can realize greater secondary market liquidity thro</w:t>
      </w:r>
      <w:r w:rsidR="00402ABA">
        <w:t>ugh proactive dealer/intermediary behavior. T</w:t>
      </w:r>
      <w:r w:rsidR="00402ABA" w:rsidRPr="00D80090">
        <w:t>his is where dealers</w:t>
      </w:r>
      <w:r w:rsidR="00402ABA">
        <w:t>/intermediaries,</w:t>
      </w:r>
      <w:r w:rsidR="00402ABA" w:rsidRPr="00D80090">
        <w:t xml:space="preserve"> on their own initiative</w:t>
      </w:r>
      <w:r w:rsidR="00402ABA">
        <w:t>,</w:t>
      </w:r>
      <w:r w:rsidR="00402ABA" w:rsidRPr="00D80090">
        <w:t xml:space="preserve"> take proprietary risks to position deb</w:t>
      </w:r>
      <w:r w:rsidR="00402ABA">
        <w:t>t securities to express their opinion</w:t>
      </w:r>
      <w:r w:rsidR="00402ABA" w:rsidRPr="00D80090">
        <w:t xml:space="preserve"> on the course of interest rates or </w:t>
      </w:r>
      <w:r w:rsidR="00402ABA">
        <w:t>the shape of the yield curve</w:t>
      </w:r>
      <w:r w:rsidR="00402ABA" w:rsidRPr="00D80090">
        <w:t xml:space="preserve">. </w:t>
      </w:r>
      <w:r w:rsidR="00490D68" w:rsidRPr="00D80090">
        <w:t xml:space="preserve">A market characterized as “one way” or “buy and hold” will never achieve a high degree of secondary market liquidity. Policymakers cannot </w:t>
      </w:r>
      <w:r w:rsidR="00DC71D2" w:rsidRPr="00D80090">
        <w:t>mold</w:t>
      </w:r>
      <w:r w:rsidR="00490D68" w:rsidRPr="00D80090">
        <w:t xml:space="preserve"> the character or behavior of market intermediaries</w:t>
      </w:r>
      <w:r w:rsidR="00402ABA">
        <w:t xml:space="preserve"> and participants</w:t>
      </w:r>
      <w:r w:rsidR="00906B5A">
        <w:t>,</w:t>
      </w:r>
      <w:r w:rsidR="00490D68" w:rsidRPr="00D80090">
        <w:t xml:space="preserve"> but </w:t>
      </w:r>
      <w:r w:rsidR="00906B5A">
        <w:t xml:space="preserve">they </w:t>
      </w:r>
      <w:r w:rsidR="00490D68" w:rsidRPr="00D80090">
        <w:t xml:space="preserve">can encourage and allow for the types of transactions that provide incentives to trade, manage </w:t>
      </w:r>
      <w:r w:rsidR="00402ABA">
        <w:t xml:space="preserve">liquidity &amp; </w:t>
      </w:r>
      <w:r w:rsidR="00490D68" w:rsidRPr="00D80090">
        <w:t xml:space="preserve">risk, and profit. Equally important is </w:t>
      </w:r>
      <w:r w:rsidR="00906B5A">
        <w:t>the</w:t>
      </w:r>
      <w:r w:rsidR="00490D68" w:rsidRPr="00D80090">
        <w:t xml:space="preserve"> </w:t>
      </w:r>
      <w:r w:rsidR="00906B5A" w:rsidRPr="00D80090">
        <w:t>cultivat</w:t>
      </w:r>
      <w:r w:rsidR="00906B5A">
        <w:t>ion of</w:t>
      </w:r>
      <w:r w:rsidR="00490D68" w:rsidRPr="00D80090">
        <w:t xml:space="preserve"> a competitive environment amongst dealers and investors. </w:t>
      </w:r>
    </w:p>
    <w:p w14:paraId="6B49E9B7" w14:textId="77777777" w:rsidR="004D28DF" w:rsidRPr="00BF2BFB" w:rsidRDefault="004D28DF" w:rsidP="00720653">
      <w:pPr>
        <w:pStyle w:val="ListParagraph"/>
        <w:widowControl w:val="0"/>
        <w:spacing w:after="240"/>
        <w:ind w:left="0"/>
        <w:contextualSpacing w:val="0"/>
        <w:jc w:val="both"/>
        <w:rPr>
          <w:rFonts w:cs="Times New Roman"/>
          <w:i/>
          <w:u w:val="single"/>
        </w:rPr>
      </w:pPr>
      <w:bookmarkStart w:id="9" w:name="_Toc293060804"/>
      <w:bookmarkStart w:id="10" w:name="_Toc293062320"/>
      <w:r w:rsidRPr="00BF2BFB">
        <w:rPr>
          <w:rFonts w:cs="Times New Roman"/>
          <w:i/>
          <w:u w:val="single"/>
        </w:rPr>
        <w:t>Repurchase Agreements (Repos)</w:t>
      </w:r>
      <w:bookmarkEnd w:id="9"/>
      <w:bookmarkEnd w:id="10"/>
      <w:r w:rsidR="00BF2BFB" w:rsidRPr="00BF2BFB">
        <w:rPr>
          <w:rFonts w:cs="Times New Roman"/>
          <w:i/>
          <w:u w:val="single"/>
        </w:rPr>
        <w:t>-</w:t>
      </w:r>
    </w:p>
    <w:p w14:paraId="0D980DCA" w14:textId="77777777" w:rsidR="00D56F48" w:rsidRPr="00D56F48" w:rsidRDefault="004D28DF" w:rsidP="00D56F48">
      <w:pPr>
        <w:pStyle w:val="ListParagraph"/>
        <w:widowControl w:val="0"/>
        <w:numPr>
          <w:ilvl w:val="0"/>
          <w:numId w:val="2"/>
        </w:numPr>
        <w:spacing w:after="240"/>
        <w:ind w:left="0" w:firstLine="0"/>
        <w:contextualSpacing w:val="0"/>
        <w:jc w:val="both"/>
        <w:rPr>
          <w:rFonts w:cs="Times New Roman"/>
        </w:rPr>
      </w:pPr>
      <w:r w:rsidRPr="00720653">
        <w:rPr>
          <w:rFonts w:cs="Times New Roman"/>
        </w:rPr>
        <w:t xml:space="preserve">Secondary market liquidity is widely benefited by the use of repurchase </w:t>
      </w:r>
      <w:r w:rsidR="00365FEB" w:rsidRPr="00720653">
        <w:rPr>
          <w:rFonts w:cs="Times New Roman"/>
        </w:rPr>
        <w:t>agreements,</w:t>
      </w:r>
      <w:r w:rsidR="00DE77C8">
        <w:rPr>
          <w:rFonts w:cs="Times New Roman"/>
        </w:rPr>
        <w:t xml:space="preserve"> as the</w:t>
      </w:r>
      <w:r w:rsidRPr="005D30FE">
        <w:rPr>
          <w:rFonts w:cs="Times New Roman"/>
        </w:rPr>
        <w:t xml:space="preserve"> economic significance of repo transactions derives from the fact that they allow one party to temporarily</w:t>
      </w:r>
      <w:r w:rsidR="00DE77C8">
        <w:rPr>
          <w:rFonts w:cs="Times New Roman"/>
        </w:rPr>
        <w:t>, in a specific time frame,</w:t>
      </w:r>
      <w:r w:rsidRPr="005D30FE">
        <w:rPr>
          <w:rFonts w:cs="Times New Roman"/>
        </w:rPr>
        <w:t xml:space="preserve"> exchange cash for securities and the other </w:t>
      </w:r>
      <w:r w:rsidR="00DE77C8">
        <w:rPr>
          <w:rFonts w:cs="Times New Roman"/>
        </w:rPr>
        <w:t xml:space="preserve">party </w:t>
      </w:r>
      <w:r w:rsidRPr="005D30FE">
        <w:rPr>
          <w:rFonts w:cs="Times New Roman"/>
        </w:rPr>
        <w:t xml:space="preserve">to temporarily exchange securities for cash. </w:t>
      </w:r>
      <w:r w:rsidR="00DE77C8">
        <w:t>As</w:t>
      </w:r>
      <w:r w:rsidR="00DE77C8" w:rsidRPr="001F2ADF">
        <w:t xml:space="preserve"> </w:t>
      </w:r>
      <w:r w:rsidR="00DE77C8">
        <w:t xml:space="preserve">the repurchase agreement approaches </w:t>
      </w:r>
      <w:r w:rsidR="00EF07E5">
        <w:t xml:space="preserve">close out or reversal, </w:t>
      </w:r>
      <w:r w:rsidR="00790BC6">
        <w:t>and t</w:t>
      </w:r>
      <w:r w:rsidR="00D56F48">
        <w:t>he selling party</w:t>
      </w:r>
      <w:r w:rsidR="00DE77C8">
        <w:t xml:space="preserve"> </w:t>
      </w:r>
      <w:proofErr w:type="gramStart"/>
      <w:r w:rsidR="00DE77C8">
        <w:t>has</w:t>
      </w:r>
      <w:proofErr w:type="gramEnd"/>
      <w:r w:rsidR="00DE77C8">
        <w:t xml:space="preserve"> </w:t>
      </w:r>
      <w:r w:rsidR="00D56F48">
        <w:t>been able to</w:t>
      </w:r>
      <w:r w:rsidR="00EF07E5">
        <w:t xml:space="preserve"> fully</w:t>
      </w:r>
      <w:r w:rsidR="00D56F48">
        <w:t xml:space="preserve"> sell</w:t>
      </w:r>
      <w:r w:rsidR="00EF07E5">
        <w:t xml:space="preserve"> out</w:t>
      </w:r>
      <w:r w:rsidR="00DE77C8">
        <w:t>right</w:t>
      </w:r>
      <w:r w:rsidR="00EF07E5">
        <w:t>, at fair value,</w:t>
      </w:r>
      <w:r w:rsidR="00DE77C8" w:rsidRPr="001F2ADF">
        <w:t xml:space="preserve"> the bonds traded under th</w:t>
      </w:r>
      <w:r w:rsidR="00DE77C8">
        <w:t>e repurchase agreement</w:t>
      </w:r>
      <w:r w:rsidR="00790BC6">
        <w:t xml:space="preserve">, the agreement is </w:t>
      </w:r>
      <w:r w:rsidR="00906B5A">
        <w:t xml:space="preserve">then </w:t>
      </w:r>
      <w:r w:rsidR="00790BC6">
        <w:t>terminated</w:t>
      </w:r>
      <w:r w:rsidR="00DE77C8">
        <w:t>. A</w:t>
      </w:r>
      <w:r w:rsidR="00DE77C8" w:rsidRPr="001F2ADF">
        <w:t>lternative</w:t>
      </w:r>
      <w:r w:rsidR="00DE77C8">
        <w:t>ly</w:t>
      </w:r>
      <w:r w:rsidR="00D56F48">
        <w:t>, the agreement c</w:t>
      </w:r>
      <w:r w:rsidR="00DE77C8" w:rsidRPr="001F2ADF">
        <w:t>ould be rolled over</w:t>
      </w:r>
      <w:r w:rsidR="00D56F48">
        <w:t xml:space="preserve"> for another term agreeable </w:t>
      </w:r>
      <w:r w:rsidR="00DE77C8">
        <w:t xml:space="preserve">by </w:t>
      </w:r>
      <w:r w:rsidR="00DE77C8" w:rsidRPr="001F2ADF">
        <w:t xml:space="preserve">each </w:t>
      </w:r>
      <w:r w:rsidR="00D56F48">
        <w:t>of the counterparties</w:t>
      </w:r>
      <w:r w:rsidR="00DE77C8" w:rsidRPr="001F2ADF">
        <w:t>.</w:t>
      </w:r>
    </w:p>
    <w:p w14:paraId="1D55BF0C" w14:textId="6CE1D9F5" w:rsidR="004D28DF" w:rsidRDefault="004D28DF" w:rsidP="005D30FE">
      <w:pPr>
        <w:pStyle w:val="ListParagraph"/>
        <w:widowControl w:val="0"/>
        <w:numPr>
          <w:ilvl w:val="0"/>
          <w:numId w:val="2"/>
        </w:numPr>
        <w:spacing w:after="240"/>
        <w:ind w:left="0" w:firstLine="0"/>
        <w:contextualSpacing w:val="0"/>
        <w:jc w:val="both"/>
        <w:rPr>
          <w:rFonts w:cs="Times New Roman"/>
        </w:rPr>
      </w:pPr>
      <w:r w:rsidRPr="005D30FE">
        <w:rPr>
          <w:rFonts w:cs="Times New Roman"/>
        </w:rPr>
        <w:t>From a legal point of view, a</w:t>
      </w:r>
      <w:r w:rsidR="00790BC6">
        <w:rPr>
          <w:rFonts w:cs="Times New Roman"/>
        </w:rPr>
        <w:t xml:space="preserve"> key feature that makes the </w:t>
      </w:r>
      <w:r w:rsidR="00DE49D8">
        <w:rPr>
          <w:rFonts w:cs="Times New Roman"/>
        </w:rPr>
        <w:t>repurchase</w:t>
      </w:r>
      <w:r w:rsidRPr="005D30FE">
        <w:rPr>
          <w:rFonts w:cs="Times New Roman"/>
        </w:rPr>
        <w:t xml:space="preserve"> contract</w:t>
      </w:r>
      <w:r w:rsidR="00EF07E5">
        <w:rPr>
          <w:rFonts w:cs="Times New Roman"/>
        </w:rPr>
        <w:t xml:space="preserve">s attractive is </w:t>
      </w:r>
      <w:r w:rsidRPr="005D30FE">
        <w:rPr>
          <w:rFonts w:cs="Times New Roman"/>
        </w:rPr>
        <w:t>the legal transfer of securities</w:t>
      </w:r>
      <w:r w:rsidR="00EF07E5">
        <w:rPr>
          <w:rFonts w:cs="Times New Roman"/>
        </w:rPr>
        <w:t>, as collateral,</w:t>
      </w:r>
      <w:r w:rsidRPr="005D30FE">
        <w:rPr>
          <w:rFonts w:cs="Times New Roman"/>
        </w:rPr>
        <w:t xml:space="preserve"> for the duration of the contract </w:t>
      </w:r>
      <w:r w:rsidR="00906B5A">
        <w:rPr>
          <w:rFonts w:cs="Times New Roman"/>
        </w:rPr>
        <w:t>which</w:t>
      </w:r>
      <w:r w:rsidR="00DE77C8">
        <w:rPr>
          <w:rFonts w:cs="Times New Roman"/>
        </w:rPr>
        <w:t xml:space="preserve"> </w:t>
      </w:r>
      <w:r w:rsidRPr="005D30FE">
        <w:rPr>
          <w:rFonts w:cs="Times New Roman"/>
        </w:rPr>
        <w:t>provides protection against credit risk</w:t>
      </w:r>
      <w:r w:rsidR="00906B5A">
        <w:rPr>
          <w:rFonts w:cs="Times New Roman"/>
        </w:rPr>
        <w:t xml:space="preserve"> and counterparty default risk</w:t>
      </w:r>
      <w:r w:rsidRPr="005D30FE">
        <w:rPr>
          <w:rFonts w:cs="Times New Roman"/>
        </w:rPr>
        <w:t>.</w:t>
      </w:r>
    </w:p>
    <w:p w14:paraId="7D8EFFD4" w14:textId="64F99CFD" w:rsidR="00D56F48" w:rsidRPr="00D56F48" w:rsidRDefault="00D56F48" w:rsidP="00D56F48">
      <w:pPr>
        <w:pStyle w:val="ListParagraph"/>
        <w:widowControl w:val="0"/>
        <w:numPr>
          <w:ilvl w:val="0"/>
          <w:numId w:val="2"/>
        </w:numPr>
        <w:spacing w:after="240"/>
        <w:ind w:left="0" w:firstLine="0"/>
        <w:contextualSpacing w:val="0"/>
        <w:jc w:val="both"/>
        <w:rPr>
          <w:rFonts w:cs="Times New Roman"/>
        </w:rPr>
      </w:pPr>
      <w:r w:rsidRPr="001F2ADF">
        <w:t>Imp</w:t>
      </w:r>
      <w:r>
        <w:t xml:space="preserve">ortantly, Repos allow </w:t>
      </w:r>
      <w:r w:rsidRPr="001F2ADF">
        <w:t>funds to</w:t>
      </w:r>
      <w:r>
        <w:t xml:space="preserve"> access liquidity in their fixed income portfolio and equally crucial is the </w:t>
      </w:r>
      <w:r w:rsidRPr="001F2ADF">
        <w:t>repurchase market</w:t>
      </w:r>
      <w:r>
        <w:t xml:space="preserve"> is a major </w:t>
      </w:r>
      <w:r w:rsidRPr="001F2ADF">
        <w:t>facility</w:t>
      </w:r>
      <w:r>
        <w:t xml:space="preserve"> for </w:t>
      </w:r>
      <w:r w:rsidRPr="001F2ADF">
        <w:t>liqu</w:t>
      </w:r>
      <w:r w:rsidR="00D44185">
        <w:t>idity within the banking system between the central bank and market participants.</w:t>
      </w:r>
      <w:r w:rsidRPr="001F2ADF">
        <w:t xml:space="preserve"> </w:t>
      </w:r>
      <w:r w:rsidR="00D44185">
        <w:t xml:space="preserve">Ultimately, </w:t>
      </w:r>
      <w:r w:rsidRPr="001F2ADF">
        <w:t xml:space="preserve">local funds could, potentially, hold less cash and more bonds, as local funds could seek </w:t>
      </w:r>
      <w:r w:rsidR="00906B5A">
        <w:t xml:space="preserve">and obtain </w:t>
      </w:r>
      <w:r w:rsidRPr="001F2ADF">
        <w:t>liq</w:t>
      </w:r>
      <w:r>
        <w:t>uidity in the repurchase market.</w:t>
      </w:r>
    </w:p>
    <w:p w14:paraId="71F96B5D" w14:textId="77777777" w:rsidR="004D28DF" w:rsidRPr="00720653" w:rsidRDefault="00906B5A" w:rsidP="00F04788">
      <w:pPr>
        <w:pStyle w:val="ListParagraph"/>
        <w:widowControl w:val="0"/>
        <w:numPr>
          <w:ilvl w:val="0"/>
          <w:numId w:val="2"/>
        </w:numPr>
        <w:spacing w:after="240"/>
        <w:ind w:left="0" w:firstLine="0"/>
        <w:contextualSpacing w:val="0"/>
        <w:jc w:val="both"/>
        <w:rPr>
          <w:rFonts w:cs="Times New Roman"/>
        </w:rPr>
      </w:pPr>
      <w:r>
        <w:rPr>
          <w:rFonts w:cs="Times New Roman"/>
        </w:rPr>
        <w:t xml:space="preserve">Whilst there are no institutional investment funds per se in PNG at this time, it can be expected that such funds will be developed over the medium to longer term. </w:t>
      </w:r>
      <w:r w:rsidR="004D28DF" w:rsidRPr="00720653">
        <w:rPr>
          <w:rFonts w:cs="Times New Roman"/>
        </w:rPr>
        <w:t>Institutional investment funds, such as mutual funds, can lend out securities as opposed to outright sales in the case of unanticipated redemptions</w:t>
      </w:r>
      <w:r w:rsidR="004D28DF" w:rsidRPr="00EF07E5">
        <w:rPr>
          <w:rFonts w:cs="Times New Roman"/>
          <w:sz w:val="20"/>
          <w:szCs w:val="20"/>
        </w:rPr>
        <w:footnoteReference w:id="23"/>
      </w:r>
      <w:r w:rsidR="004D28DF" w:rsidRPr="00EF07E5">
        <w:rPr>
          <w:rFonts w:cs="Times New Roman"/>
          <w:sz w:val="20"/>
          <w:szCs w:val="20"/>
        </w:rPr>
        <w:t>.</w:t>
      </w:r>
      <w:r w:rsidR="004D28DF" w:rsidRPr="00720653">
        <w:rPr>
          <w:rFonts w:cs="Times New Roman"/>
        </w:rPr>
        <w:t xml:space="preserve"> In the event</w:t>
      </w:r>
      <w:r w:rsidR="00EF07E5">
        <w:rPr>
          <w:rFonts w:cs="Times New Roman"/>
        </w:rPr>
        <w:t xml:space="preserve"> of market imbalances a</w:t>
      </w:r>
      <w:r w:rsidR="004D28DF" w:rsidRPr="00720653">
        <w:rPr>
          <w:rFonts w:cs="Times New Roman"/>
        </w:rPr>
        <w:t xml:space="preserve"> </w:t>
      </w:r>
      <w:r w:rsidR="00EF07E5">
        <w:rPr>
          <w:rFonts w:cs="Times New Roman"/>
        </w:rPr>
        <w:t xml:space="preserve">mutual </w:t>
      </w:r>
      <w:r w:rsidR="004D28DF" w:rsidRPr="00720653">
        <w:rPr>
          <w:rFonts w:cs="Times New Roman"/>
        </w:rPr>
        <w:t>fund receiving overwhelming redemptions would only exacerbate the negative market conditions by outright selling the securities. A mutual fund can receive proceeds to meet the redemptions by “repu</w:t>
      </w:r>
      <w:r w:rsidR="00EF07E5">
        <w:rPr>
          <w:rFonts w:cs="Times New Roman"/>
        </w:rPr>
        <w:t xml:space="preserve">rchasing out” </w:t>
      </w:r>
      <w:r w:rsidR="004D28DF" w:rsidRPr="00720653">
        <w:rPr>
          <w:rFonts w:cs="Times New Roman"/>
        </w:rPr>
        <w:t xml:space="preserve">the fund’s </w:t>
      </w:r>
      <w:r w:rsidR="00EF07E5">
        <w:rPr>
          <w:rFonts w:cs="Times New Roman"/>
        </w:rPr>
        <w:t xml:space="preserve">securities </w:t>
      </w:r>
      <w:r w:rsidR="004D28DF" w:rsidRPr="00720653">
        <w:rPr>
          <w:rFonts w:cs="Times New Roman"/>
        </w:rPr>
        <w:t xml:space="preserve">holdings.  While the market imbalance may translate in pricing issues for repurchase agreements, the process is more efficient than outright selling in a distressed market. Once the market finds equilibrium and </w:t>
      </w:r>
      <w:r w:rsidR="00EF07E5">
        <w:rPr>
          <w:rFonts w:cs="Times New Roman"/>
        </w:rPr>
        <w:t xml:space="preserve">increased liquidity the </w:t>
      </w:r>
      <w:r w:rsidR="004D28DF" w:rsidRPr="00720653">
        <w:rPr>
          <w:rFonts w:cs="Times New Roman"/>
        </w:rPr>
        <w:t>repo</w:t>
      </w:r>
      <w:r w:rsidR="00EF07E5">
        <w:rPr>
          <w:rFonts w:cs="Times New Roman"/>
        </w:rPr>
        <w:t xml:space="preserve"> transaction</w:t>
      </w:r>
      <w:r w:rsidR="004D28DF" w:rsidRPr="00720653">
        <w:rPr>
          <w:rFonts w:cs="Times New Roman"/>
        </w:rPr>
        <w:t xml:space="preserve"> can be unwound and the fund manager can subsequently out-right sell the asset position. This contributes to the markets ability to rebound and stabilize quicker and creating market </w:t>
      </w:r>
      <w:r w:rsidR="004D28DF" w:rsidRPr="00720653">
        <w:rPr>
          <w:rFonts w:cs="Times New Roman"/>
        </w:rPr>
        <w:lastRenderedPageBreak/>
        <w:t>confidence.</w:t>
      </w:r>
    </w:p>
    <w:p w14:paraId="0898B8AA" w14:textId="77777777" w:rsidR="004D28DF" w:rsidRDefault="004D28DF" w:rsidP="00F04788">
      <w:pPr>
        <w:pStyle w:val="ListParagraph"/>
        <w:widowControl w:val="0"/>
        <w:numPr>
          <w:ilvl w:val="0"/>
          <w:numId w:val="2"/>
        </w:numPr>
        <w:spacing w:after="240"/>
        <w:ind w:left="0" w:firstLine="0"/>
        <w:contextualSpacing w:val="0"/>
        <w:jc w:val="both"/>
        <w:rPr>
          <w:rFonts w:cs="Times New Roman"/>
        </w:rPr>
      </w:pPr>
      <w:r w:rsidRPr="00720653">
        <w:rPr>
          <w:rFonts w:cs="Times New Roman"/>
        </w:rPr>
        <w:t>Repos can be useful in developing markets where domestic and foreign banks are participating in the local bond market. In a banking system where liquidity is ample domestic banks with a large depository bases are typically “net lenders” of money while foreign banks with a limited or no branch system would be a “net borrower” of money and repos facilitate the transaction.</w:t>
      </w:r>
    </w:p>
    <w:p w14:paraId="65F0F832" w14:textId="77777777" w:rsidR="00232A5E" w:rsidRPr="00790BC6" w:rsidRDefault="00232A5E" w:rsidP="00232A5E">
      <w:pPr>
        <w:widowControl w:val="0"/>
        <w:spacing w:after="240"/>
        <w:jc w:val="both"/>
        <w:rPr>
          <w:i/>
          <w:u w:val="single"/>
        </w:rPr>
      </w:pPr>
      <w:r w:rsidRPr="00790BC6">
        <w:rPr>
          <w:i/>
          <w:u w:val="single"/>
        </w:rPr>
        <w:t>Recent Initiatives-</w:t>
      </w:r>
    </w:p>
    <w:p w14:paraId="686E76F8" w14:textId="14218C43" w:rsidR="00232A5E" w:rsidRDefault="00EF07E5" w:rsidP="00232A5E">
      <w:pPr>
        <w:pStyle w:val="ListParagraph"/>
        <w:widowControl w:val="0"/>
        <w:numPr>
          <w:ilvl w:val="0"/>
          <w:numId w:val="2"/>
        </w:numPr>
        <w:spacing w:after="240"/>
        <w:ind w:left="0" w:firstLine="0"/>
        <w:contextualSpacing w:val="0"/>
        <w:jc w:val="both"/>
        <w:rPr>
          <w:rFonts w:cs="Times New Roman"/>
        </w:rPr>
      </w:pPr>
      <w:r>
        <w:rPr>
          <w:rFonts w:cs="Times New Roman"/>
        </w:rPr>
        <w:t>The B</w:t>
      </w:r>
      <w:r w:rsidR="00906B5A">
        <w:rPr>
          <w:rFonts w:cs="Times New Roman"/>
        </w:rPr>
        <w:t>PNG</w:t>
      </w:r>
      <w:r>
        <w:rPr>
          <w:rFonts w:cs="Times New Roman"/>
        </w:rPr>
        <w:t xml:space="preserve"> has drafted a Master Repurchase A</w:t>
      </w:r>
      <w:r w:rsidR="00232A5E">
        <w:rPr>
          <w:rFonts w:cs="Times New Roman"/>
        </w:rPr>
        <w:t>greement</w:t>
      </w:r>
      <w:r>
        <w:rPr>
          <w:rFonts w:cs="Times New Roman"/>
        </w:rPr>
        <w:t xml:space="preserve"> (MRA)</w:t>
      </w:r>
      <w:r w:rsidR="00A25D5F">
        <w:rPr>
          <w:rFonts w:cs="Times New Roman"/>
        </w:rPr>
        <w:t>,</w:t>
      </w:r>
      <w:r w:rsidR="00232A5E">
        <w:rPr>
          <w:rFonts w:cs="Times New Roman"/>
        </w:rPr>
        <w:t xml:space="preserve"> </w:t>
      </w:r>
      <w:r w:rsidR="00906B5A">
        <w:rPr>
          <w:rFonts w:cs="Times New Roman"/>
        </w:rPr>
        <w:t>which</w:t>
      </w:r>
      <w:r w:rsidR="00232A5E">
        <w:rPr>
          <w:rFonts w:cs="Times New Roman"/>
        </w:rPr>
        <w:t xml:space="preserve"> is </w:t>
      </w:r>
      <w:r w:rsidR="00906B5A">
        <w:rPr>
          <w:rFonts w:cs="Times New Roman"/>
        </w:rPr>
        <w:t xml:space="preserve">currently </w:t>
      </w:r>
      <w:r w:rsidR="00232A5E">
        <w:rPr>
          <w:rFonts w:cs="Times New Roman"/>
        </w:rPr>
        <w:t xml:space="preserve">under </w:t>
      </w:r>
      <w:r w:rsidR="00465DA3">
        <w:rPr>
          <w:rFonts w:cs="Times New Roman"/>
        </w:rPr>
        <w:t xml:space="preserve">BPNG internal </w:t>
      </w:r>
      <w:r w:rsidR="00232A5E">
        <w:rPr>
          <w:rFonts w:cs="Times New Roman"/>
        </w:rPr>
        <w:t xml:space="preserve">legal </w:t>
      </w:r>
      <w:r>
        <w:rPr>
          <w:rFonts w:cs="Times New Roman"/>
        </w:rPr>
        <w:t>review. Also, local financial institutions</w:t>
      </w:r>
      <w:r w:rsidR="00232A5E">
        <w:rPr>
          <w:rFonts w:cs="Times New Roman"/>
        </w:rPr>
        <w:t xml:space="preserve"> were consulted to </w:t>
      </w:r>
      <w:r w:rsidR="00906B5A">
        <w:rPr>
          <w:rFonts w:cs="Times New Roman"/>
        </w:rPr>
        <w:t>obtain</w:t>
      </w:r>
      <w:r w:rsidR="00232A5E">
        <w:rPr>
          <w:rFonts w:cs="Times New Roman"/>
        </w:rPr>
        <w:t xml:space="preserve"> feedback on the draft agreement and all but one bank co</w:t>
      </w:r>
      <w:r w:rsidR="00906B5A">
        <w:rPr>
          <w:rFonts w:cs="Times New Roman"/>
        </w:rPr>
        <w:t xml:space="preserve">ncurred </w:t>
      </w:r>
      <w:r w:rsidR="00232A5E">
        <w:rPr>
          <w:rFonts w:cs="Times New Roman"/>
        </w:rPr>
        <w:t xml:space="preserve">with the </w:t>
      </w:r>
      <w:r w:rsidR="00906B5A">
        <w:rPr>
          <w:rFonts w:cs="Times New Roman"/>
        </w:rPr>
        <w:t xml:space="preserve">draft </w:t>
      </w:r>
      <w:r w:rsidR="00232A5E">
        <w:rPr>
          <w:rFonts w:cs="Times New Roman"/>
        </w:rPr>
        <w:t xml:space="preserve">agreement. Upon </w:t>
      </w:r>
      <w:r w:rsidR="00465DA3">
        <w:rPr>
          <w:rFonts w:cs="Times New Roman"/>
        </w:rPr>
        <w:t xml:space="preserve">BPNG internal </w:t>
      </w:r>
      <w:r w:rsidR="00232A5E">
        <w:rPr>
          <w:rFonts w:cs="Times New Roman"/>
        </w:rPr>
        <w:t xml:space="preserve">legal </w:t>
      </w:r>
      <w:r w:rsidR="00465DA3">
        <w:rPr>
          <w:rFonts w:cs="Times New Roman"/>
        </w:rPr>
        <w:t>approval</w:t>
      </w:r>
      <w:r w:rsidR="00906B5A">
        <w:rPr>
          <w:rFonts w:cs="Times New Roman"/>
        </w:rPr>
        <w:t xml:space="preserve"> and further discussion</w:t>
      </w:r>
      <w:r w:rsidR="00465DA3">
        <w:rPr>
          <w:rFonts w:cs="Times New Roman"/>
        </w:rPr>
        <w:t>s needed</w:t>
      </w:r>
      <w:r w:rsidR="00906B5A">
        <w:rPr>
          <w:rFonts w:cs="Times New Roman"/>
        </w:rPr>
        <w:t xml:space="preserve"> with </w:t>
      </w:r>
      <w:r w:rsidR="00465DA3">
        <w:rPr>
          <w:rFonts w:cs="Times New Roman"/>
        </w:rPr>
        <w:t>commercial</w:t>
      </w:r>
      <w:r w:rsidR="00232A5E">
        <w:rPr>
          <w:rFonts w:cs="Times New Roman"/>
        </w:rPr>
        <w:t xml:space="preserve"> banks, fun</w:t>
      </w:r>
      <w:r w:rsidR="00790BC6">
        <w:rPr>
          <w:rFonts w:cs="Times New Roman"/>
        </w:rPr>
        <w:t>ds,</w:t>
      </w:r>
      <w:r w:rsidR="00465DA3">
        <w:rPr>
          <w:rFonts w:cs="Times New Roman"/>
        </w:rPr>
        <w:t xml:space="preserve"> and another relevant entities</w:t>
      </w:r>
      <w:r w:rsidR="00790BC6">
        <w:rPr>
          <w:rFonts w:cs="Times New Roman"/>
        </w:rPr>
        <w:t xml:space="preserve"> the MRA</w:t>
      </w:r>
      <w:r w:rsidR="00232A5E">
        <w:rPr>
          <w:rFonts w:cs="Times New Roman"/>
        </w:rPr>
        <w:t xml:space="preserve"> is to be adopted.  </w:t>
      </w:r>
    </w:p>
    <w:p w14:paraId="70D6FC01" w14:textId="77777777" w:rsidR="00232A5E" w:rsidRPr="00BF2BFB" w:rsidRDefault="00232A5E" w:rsidP="00232A5E">
      <w:pPr>
        <w:widowControl w:val="0"/>
        <w:spacing w:after="240"/>
        <w:jc w:val="both"/>
        <w:rPr>
          <w:rFonts w:cs="Times New Roman"/>
          <w:i/>
          <w:u w:val="single"/>
        </w:rPr>
      </w:pPr>
      <w:r w:rsidRPr="00BF2BFB">
        <w:rPr>
          <w:rFonts w:cs="Times New Roman"/>
          <w:i/>
          <w:u w:val="single"/>
        </w:rPr>
        <w:t>Recommendations-</w:t>
      </w:r>
    </w:p>
    <w:p w14:paraId="028EB27F" w14:textId="02D8D22B" w:rsidR="00232A5E" w:rsidRDefault="00906B5A" w:rsidP="00232A5E">
      <w:pPr>
        <w:pStyle w:val="ListParagraph"/>
        <w:widowControl w:val="0"/>
        <w:numPr>
          <w:ilvl w:val="0"/>
          <w:numId w:val="29"/>
        </w:numPr>
        <w:spacing w:after="240"/>
        <w:ind w:left="0" w:firstLine="0"/>
        <w:contextualSpacing w:val="0"/>
        <w:jc w:val="both"/>
      </w:pPr>
      <w:r>
        <w:t xml:space="preserve">That </w:t>
      </w:r>
      <w:r w:rsidR="00232A5E">
        <w:t xml:space="preserve">Treasury and FMD </w:t>
      </w:r>
      <w:r w:rsidR="00A25D5F">
        <w:t xml:space="preserve">to </w:t>
      </w:r>
      <w:r w:rsidR="00232A5E">
        <w:t>p</w:t>
      </w:r>
      <w:r w:rsidR="00232A5E" w:rsidRPr="00D80090">
        <w:t>rovide</w:t>
      </w:r>
      <w:r w:rsidR="001208EE">
        <w:t xml:space="preserve"> the market, through dialogue with market participants, </w:t>
      </w:r>
      <w:r w:rsidR="00232A5E" w:rsidRPr="00D80090">
        <w:t>with adequately sized T-bill and G</w:t>
      </w:r>
      <w:r>
        <w:t>IS</w:t>
      </w:r>
      <w:r w:rsidR="00232A5E" w:rsidRPr="00D80090">
        <w:t xml:space="preserve"> benchmarks which appropriately match the maturity interests of the institutional investor base and potential bank and private sector debt issuance. Benchmarks can achieve sufficiently sized issues through primary market auctions and subsequent re-opening auctions to top-up the benchmarks.</w:t>
      </w:r>
    </w:p>
    <w:p w14:paraId="376256A1" w14:textId="0E6470D0" w:rsidR="00790BC6" w:rsidRPr="00D80090" w:rsidRDefault="00790BC6" w:rsidP="00790BC6">
      <w:pPr>
        <w:pStyle w:val="ListParagraph"/>
        <w:widowControl w:val="0"/>
        <w:numPr>
          <w:ilvl w:val="0"/>
          <w:numId w:val="29"/>
        </w:numPr>
        <w:spacing w:after="240"/>
        <w:ind w:left="0" w:firstLine="0"/>
        <w:contextualSpacing w:val="0"/>
        <w:jc w:val="both"/>
      </w:pPr>
      <w:r w:rsidRPr="00D80090">
        <w:t>The B</w:t>
      </w:r>
      <w:r w:rsidR="00906B5A">
        <w:t>PNG,</w:t>
      </w:r>
      <w:r w:rsidRPr="00D80090">
        <w:t xml:space="preserve"> in collaboration with Treasury</w:t>
      </w:r>
      <w:r w:rsidR="00906B5A">
        <w:t>,</w:t>
      </w:r>
      <w:r w:rsidRPr="00D80090">
        <w:t xml:space="preserve"> </w:t>
      </w:r>
      <w:r w:rsidR="0008504E">
        <w:t>after due legal review and industry consultation, i</w:t>
      </w:r>
      <w:r>
        <w:t xml:space="preserve">mplements the </w:t>
      </w:r>
      <w:r w:rsidRPr="00D80090">
        <w:t>M</w:t>
      </w:r>
      <w:r w:rsidR="00906B5A">
        <w:t>RA</w:t>
      </w:r>
      <w:r w:rsidRPr="00D80090">
        <w:t xml:space="preserve">. To ensure market integrity the master agreement </w:t>
      </w:r>
      <w:r>
        <w:t xml:space="preserve">terms and conditions </w:t>
      </w:r>
      <w:r w:rsidRPr="00D80090">
        <w:t>sets out standards for margining, accounting, and relevant requirements.</w:t>
      </w:r>
      <w:r>
        <w:t xml:space="preserve"> </w:t>
      </w:r>
      <w:r w:rsidRPr="00A706A8">
        <w:t>To stand</w:t>
      </w:r>
      <w:r>
        <w:t xml:space="preserve">ardize these practices, the </w:t>
      </w:r>
      <w:r w:rsidRPr="00A706A8">
        <w:t>M</w:t>
      </w:r>
      <w:r w:rsidR="0008504E">
        <w:t>RA</w:t>
      </w:r>
      <w:r>
        <w:t xml:space="preserve">, should be </w:t>
      </w:r>
      <w:r w:rsidRPr="00A706A8">
        <w:t xml:space="preserve">signed in advance by the </w:t>
      </w:r>
      <w:r>
        <w:t xml:space="preserve">all </w:t>
      </w:r>
      <w:r w:rsidRPr="00A706A8">
        <w:t xml:space="preserve">parties </w:t>
      </w:r>
      <w:r>
        <w:t xml:space="preserve">allowed </w:t>
      </w:r>
      <w:r w:rsidRPr="00A706A8">
        <w:t>to the trade in order to enable rapid processing of the transaction.</w:t>
      </w:r>
    </w:p>
    <w:p w14:paraId="52A22393" w14:textId="77777777" w:rsidR="00790BC6" w:rsidRDefault="00790BC6" w:rsidP="00790BC6">
      <w:pPr>
        <w:pStyle w:val="ListParagraph"/>
        <w:widowControl w:val="0"/>
        <w:numPr>
          <w:ilvl w:val="0"/>
          <w:numId w:val="29"/>
        </w:numPr>
        <w:spacing w:after="240"/>
        <w:ind w:left="0" w:firstLine="0"/>
        <w:contextualSpacing w:val="0"/>
        <w:jc w:val="both"/>
      </w:pPr>
      <w:r>
        <w:t>Repurchase agreement</w:t>
      </w:r>
      <w:r w:rsidRPr="00D80090">
        <w:t xml:space="preserve"> procedures, standards, and code of conduct must be set out by BPNG for all market participants to comply with best practices in conducting repurchase transactions.</w:t>
      </w:r>
    </w:p>
    <w:p w14:paraId="313B9B04" w14:textId="77777777" w:rsidR="00790BC6" w:rsidRDefault="00790BC6" w:rsidP="00790BC6">
      <w:pPr>
        <w:pStyle w:val="ListParagraph"/>
        <w:widowControl w:val="0"/>
        <w:numPr>
          <w:ilvl w:val="0"/>
          <w:numId w:val="29"/>
        </w:numPr>
        <w:spacing w:after="240"/>
        <w:ind w:left="0" w:firstLine="0"/>
        <w:contextualSpacing w:val="0"/>
        <w:jc w:val="both"/>
      </w:pPr>
      <w:r>
        <w:t xml:space="preserve">Bloomberg’s Repo analysis is a very efficient and operationally sound module to determine Repo value and pricing. The BPNG may consider Repo transaction testing via “mock” trades between counterparties and </w:t>
      </w:r>
      <w:r w:rsidR="0008504E">
        <w:t xml:space="preserve">the </w:t>
      </w:r>
      <w:r>
        <w:t>BPNG, both Repo and reverse Repo.</w:t>
      </w:r>
    </w:p>
    <w:p w14:paraId="56B6AF69" w14:textId="77777777" w:rsidR="00790BC6" w:rsidRDefault="001756A7" w:rsidP="00790BC6">
      <w:pPr>
        <w:pStyle w:val="ListParagraph"/>
        <w:widowControl w:val="0"/>
        <w:numPr>
          <w:ilvl w:val="0"/>
          <w:numId w:val="29"/>
        </w:numPr>
        <w:spacing w:after="240"/>
        <w:ind w:left="0" w:firstLine="0"/>
        <w:contextualSpacing w:val="0"/>
        <w:jc w:val="both"/>
      </w:pPr>
      <w:r w:rsidRPr="00D80090">
        <w:t>In developing a domestic government securities market t</w:t>
      </w:r>
      <w:r>
        <w:t xml:space="preserve">he Treasury and </w:t>
      </w:r>
      <w:r w:rsidR="0008504E">
        <w:t xml:space="preserve">the </w:t>
      </w:r>
      <w:r>
        <w:t>BPNG could consider allowing intermediaries, banks and brokers, to provide primary d</w:t>
      </w:r>
      <w:r w:rsidRPr="00D80090">
        <w:t xml:space="preserve">ealer </w:t>
      </w:r>
      <w:r>
        <w:t>market making functions for price discovery and trade execution in exchange for dealer privileges</w:t>
      </w:r>
      <w:r>
        <w:rPr>
          <w:rStyle w:val="FootnoteReference"/>
        </w:rPr>
        <w:footnoteReference w:id="24"/>
      </w:r>
      <w:r>
        <w:t>.</w:t>
      </w:r>
    </w:p>
    <w:p w14:paraId="39742982" w14:textId="77777777" w:rsidR="007E7FFE" w:rsidRDefault="007E7FFE" w:rsidP="007E7FFE">
      <w:pPr>
        <w:pStyle w:val="ListParagraph"/>
        <w:widowControl w:val="0"/>
        <w:numPr>
          <w:ilvl w:val="0"/>
          <w:numId w:val="29"/>
        </w:numPr>
        <w:spacing w:after="240"/>
        <w:ind w:left="0" w:firstLine="0"/>
        <w:contextualSpacing w:val="0"/>
        <w:jc w:val="both"/>
      </w:pPr>
      <w:r>
        <w:t>The BPNG has a key role to play</w:t>
      </w:r>
      <w:r w:rsidRPr="00D80090">
        <w:t xml:space="preserve"> in developing secondary market liquidity through open-market activities</w:t>
      </w:r>
      <w:r>
        <w:t xml:space="preserve">. Furthermore, the BPNG </w:t>
      </w:r>
      <w:r w:rsidRPr="00D80090">
        <w:t xml:space="preserve">can use secondary market </w:t>
      </w:r>
      <w:r>
        <w:t xml:space="preserve">and </w:t>
      </w:r>
      <w:r>
        <w:lastRenderedPageBreak/>
        <w:t xml:space="preserve">repurchase </w:t>
      </w:r>
      <w:r w:rsidRPr="00D80090">
        <w:t xml:space="preserve">transactions as a means to mitigate any undue volatility or imbalances. </w:t>
      </w:r>
    </w:p>
    <w:p w14:paraId="38693C50" w14:textId="77777777" w:rsidR="001208EE" w:rsidRDefault="001208EE" w:rsidP="00232A5E">
      <w:pPr>
        <w:pStyle w:val="ListParagraph"/>
        <w:widowControl w:val="0"/>
        <w:numPr>
          <w:ilvl w:val="0"/>
          <w:numId w:val="29"/>
        </w:numPr>
        <w:spacing w:after="240"/>
        <w:ind w:left="0" w:firstLine="0"/>
        <w:contextualSpacing w:val="0"/>
        <w:jc w:val="both"/>
      </w:pPr>
      <w:r>
        <w:t xml:space="preserve">Treasury and BPNG, as previously </w:t>
      </w:r>
      <w:r w:rsidR="00665304">
        <w:t xml:space="preserve">mentioned, place a high priority </w:t>
      </w:r>
      <w:r w:rsidR="00021DDF">
        <w:t xml:space="preserve">to </w:t>
      </w:r>
      <w:r w:rsidR="00665304">
        <w:t xml:space="preserve">develop and promote the expansion of the investor base to include: institutions, private sector corporates, </w:t>
      </w:r>
      <w:r w:rsidR="00790BC6">
        <w:t xml:space="preserve">insurance companies, </w:t>
      </w:r>
      <w:r w:rsidR="00665304">
        <w:t>SMEs, ret</w:t>
      </w:r>
      <w:r w:rsidR="00021DDF">
        <w:t>ail, and non-resident investors</w:t>
      </w:r>
      <w:r w:rsidR="00790BC6">
        <w:t>. The first prior</w:t>
      </w:r>
      <w:r w:rsidR="0008504E">
        <w:t>it</w:t>
      </w:r>
      <w:r w:rsidR="00790BC6">
        <w:t xml:space="preserve">y is to promote the </w:t>
      </w:r>
      <w:r w:rsidR="00021DDF">
        <w:t>ease of access to</w:t>
      </w:r>
      <w:r w:rsidR="00790BC6">
        <w:t xml:space="preserve"> an automated</w:t>
      </w:r>
      <w:r w:rsidR="00021DDF">
        <w:t xml:space="preserve"> primary</w:t>
      </w:r>
      <w:r w:rsidR="00790BC6">
        <w:t xml:space="preserve"> market </w:t>
      </w:r>
      <w:r w:rsidR="00021DDF">
        <w:t>through intermediaries.</w:t>
      </w:r>
      <w:r w:rsidR="00790BC6">
        <w:t xml:space="preserve"> With this precondition achieved secondary market transactions would </w:t>
      </w:r>
      <w:r w:rsidR="001756A7">
        <w:t xml:space="preserve">gradually </w:t>
      </w:r>
      <w:r w:rsidR="00790BC6">
        <w:t>follow.</w:t>
      </w:r>
    </w:p>
    <w:p w14:paraId="383BABF8" w14:textId="77777777" w:rsidR="00232A5E" w:rsidRDefault="0008504E" w:rsidP="00232A5E">
      <w:pPr>
        <w:pStyle w:val="ListParagraph"/>
        <w:widowControl w:val="0"/>
        <w:numPr>
          <w:ilvl w:val="0"/>
          <w:numId w:val="29"/>
        </w:numPr>
        <w:spacing w:after="240"/>
        <w:ind w:left="0" w:firstLine="0"/>
        <w:contextualSpacing w:val="0"/>
        <w:jc w:val="both"/>
      </w:pPr>
      <w:r>
        <w:t xml:space="preserve">That the </w:t>
      </w:r>
      <w:r w:rsidR="00232A5E" w:rsidRPr="00D80090">
        <w:t>BPNG establish market conventions and standards for intermediaries executing trades between dealer-to-client and dealer-to-dealer in the secondary market. Market conventions for pricing methodologies and international best practice standards for bond market calculations including money market calculations.</w:t>
      </w:r>
    </w:p>
    <w:p w14:paraId="644119F1" w14:textId="1CC994C6" w:rsidR="00260A46" w:rsidRDefault="00260A46" w:rsidP="00232A5E">
      <w:pPr>
        <w:pStyle w:val="ListParagraph"/>
        <w:widowControl w:val="0"/>
        <w:numPr>
          <w:ilvl w:val="0"/>
          <w:numId w:val="29"/>
        </w:numPr>
        <w:spacing w:after="240"/>
        <w:ind w:left="0" w:firstLine="0"/>
        <w:contextualSpacing w:val="0"/>
        <w:jc w:val="both"/>
      </w:pPr>
      <w:r w:rsidRPr="00D80090">
        <w:t xml:space="preserve">BPNG establish a code of </w:t>
      </w:r>
      <w:r w:rsidRPr="005A77DD">
        <w:t>conduct</w:t>
      </w:r>
      <w:r w:rsidRPr="00D80090">
        <w:t xml:space="preserve"> for intermediaries and dealers to conduct business in the PNG debt securities market. A resilient code of conduct must be in accordance and supported by local legal and regulatory environments that match international best standards. Realizing an integral code of conduct and highly ethical environment for participants to conduct business in the local debt markets requires effective education and training.</w:t>
      </w:r>
    </w:p>
    <w:p w14:paraId="308D0C04" w14:textId="77777777" w:rsidR="007E7FFE" w:rsidRDefault="007E7FFE" w:rsidP="007E7FFE">
      <w:pPr>
        <w:pStyle w:val="ListParagraph"/>
        <w:widowControl w:val="0"/>
        <w:numPr>
          <w:ilvl w:val="0"/>
          <w:numId w:val="29"/>
        </w:numPr>
        <w:spacing w:after="240"/>
        <w:ind w:left="0" w:firstLine="0"/>
        <w:contextualSpacing w:val="0"/>
        <w:jc w:val="both"/>
      </w:pPr>
      <w:r w:rsidRPr="00D80090">
        <w:t xml:space="preserve">Compliance plays a key role in ensuring market professionals are acting within the standards and practices set by the governing authorities. </w:t>
      </w:r>
      <w:r>
        <w:t>BPNG to e</w:t>
      </w:r>
      <w:r w:rsidRPr="00D80090">
        <w:t>nsure effective market oversight/</w:t>
      </w:r>
      <w:r>
        <w:t>surveillance of parties transacting in the OTC secondary market</w:t>
      </w:r>
      <w:r w:rsidRPr="00D80090">
        <w:t>. This becomes increasingly important in the event of retai</w:t>
      </w:r>
      <w:r>
        <w:t xml:space="preserve">l investors participation in the </w:t>
      </w:r>
      <w:r w:rsidRPr="00D80090">
        <w:t xml:space="preserve">government </w:t>
      </w:r>
      <w:r>
        <w:t xml:space="preserve">and central bank </w:t>
      </w:r>
      <w:r w:rsidRPr="00D80090">
        <w:t>securities market.</w:t>
      </w:r>
    </w:p>
    <w:p w14:paraId="2E12CAA6" w14:textId="77777777" w:rsidR="00260A46" w:rsidRDefault="00260A46" w:rsidP="00232A5E">
      <w:pPr>
        <w:pStyle w:val="ListParagraph"/>
        <w:widowControl w:val="0"/>
        <w:numPr>
          <w:ilvl w:val="0"/>
          <w:numId w:val="29"/>
        </w:numPr>
        <w:spacing w:after="240"/>
        <w:ind w:left="0" w:firstLine="0"/>
        <w:contextualSpacing w:val="0"/>
        <w:jc w:val="both"/>
      </w:pPr>
      <w:r w:rsidRPr="00D80090">
        <w:t xml:space="preserve">Transparency is enhanced by requirements for timely and accurate reporting of </w:t>
      </w:r>
      <w:r w:rsidR="001208EE">
        <w:t xml:space="preserve">secondary market </w:t>
      </w:r>
      <w:r w:rsidRPr="00D80090">
        <w:t xml:space="preserve">transactions in the OTC market. Reporting dealer and client transactions will be directly to </w:t>
      </w:r>
      <w:r w:rsidR="0008504E">
        <w:t xml:space="preserve">the </w:t>
      </w:r>
      <w:r w:rsidRPr="00D80090">
        <w:t xml:space="preserve">BPNG. </w:t>
      </w:r>
      <w:r w:rsidR="0008504E">
        <w:t xml:space="preserve">The </w:t>
      </w:r>
      <w:r w:rsidRPr="00D80090">
        <w:t>BPNG will set reporting standards</w:t>
      </w:r>
      <w:r>
        <w:t>,</w:t>
      </w:r>
      <w:r w:rsidRPr="00D80090">
        <w:t xml:space="preserve"> which are practical under current conditions but should be revised and adopted as market conditions improve and transactions increase. Secondary market transactions in debt markets are largely phone based over-the-counter transactions thus it is incumbent of participants transactions to be reported within an appropriate timeframe. The importance for timely and accurate trade reporting can be the basis for establishing pricing mechanisms for the government yield curve and government benchmarks.</w:t>
      </w:r>
    </w:p>
    <w:p w14:paraId="21F509F0" w14:textId="77777777" w:rsidR="00232A5E" w:rsidRDefault="00232A5E" w:rsidP="00232A5E">
      <w:pPr>
        <w:pStyle w:val="ListParagraph"/>
        <w:widowControl w:val="0"/>
        <w:numPr>
          <w:ilvl w:val="0"/>
          <w:numId w:val="29"/>
        </w:numPr>
        <w:spacing w:after="240"/>
        <w:ind w:left="0" w:firstLine="0"/>
        <w:contextualSpacing w:val="0"/>
        <w:jc w:val="both"/>
        <w:rPr>
          <w:rFonts w:cs="Times New Roman"/>
        </w:rPr>
      </w:pPr>
      <w:r w:rsidRPr="009D3E1D">
        <w:rPr>
          <w:rFonts w:cs="Times New Roman"/>
        </w:rPr>
        <w:t>Trades reported</w:t>
      </w:r>
      <w:r w:rsidR="001756A7">
        <w:rPr>
          <w:rFonts w:cs="Times New Roman"/>
        </w:rPr>
        <w:t xml:space="preserve"> to the BPNG will</w:t>
      </w:r>
      <w:r w:rsidRPr="00720653">
        <w:rPr>
          <w:rFonts w:cs="Times New Roman"/>
        </w:rPr>
        <w:t xml:space="preserve"> need a mechanism for dissemination to th</w:t>
      </w:r>
      <w:r w:rsidR="001756A7">
        <w:rPr>
          <w:rFonts w:cs="Times New Roman"/>
        </w:rPr>
        <w:t>e market place. The Bank’s</w:t>
      </w:r>
      <w:r w:rsidRPr="00720653">
        <w:rPr>
          <w:rFonts w:cs="Times New Roman"/>
        </w:rPr>
        <w:t xml:space="preserve"> website would act as the centralized vehicle for bond market information. Centralization of market information contributes to the efficiencies of the domestic bond market, as all information is shared and accessible in an equal manner. The significance of centralized market information is that it mitigates market participant’s potential confusion of where information is being sourced and solidifie</w:t>
      </w:r>
      <w:r w:rsidR="001756A7">
        <w:rPr>
          <w:rFonts w:cs="Times New Roman"/>
        </w:rPr>
        <w:t>s the authority of the B</w:t>
      </w:r>
      <w:r w:rsidRPr="00720653">
        <w:rPr>
          <w:rFonts w:cs="Times New Roman"/>
        </w:rPr>
        <w:t xml:space="preserve">ank’s information sharing. In due time and perhaps when economically feasible </w:t>
      </w:r>
      <w:r w:rsidR="001756A7">
        <w:rPr>
          <w:rFonts w:cs="Times New Roman"/>
        </w:rPr>
        <w:t>the development of the B</w:t>
      </w:r>
      <w:r w:rsidRPr="00720653">
        <w:rPr>
          <w:rFonts w:cs="Times New Roman"/>
        </w:rPr>
        <w:t xml:space="preserve">ank’s market information distribution would be dedicated on its website and strive for real-time attributes. Real-time market information is a catalyst for developing an active secondary market and creating efficiencies in the </w:t>
      </w:r>
      <w:r w:rsidRPr="00720653">
        <w:rPr>
          <w:rFonts w:cs="Times New Roman"/>
        </w:rPr>
        <w:lastRenderedPageBreak/>
        <w:t>primary market resulting in cost effecti</w:t>
      </w:r>
      <w:r>
        <w:rPr>
          <w:rFonts w:cs="Times New Roman"/>
        </w:rPr>
        <w:t>ve financing for the government.</w:t>
      </w:r>
    </w:p>
    <w:p w14:paraId="508B088A" w14:textId="77777777" w:rsidR="006F79F2" w:rsidRPr="002E0D4A" w:rsidRDefault="0008504E" w:rsidP="00232A5E">
      <w:pPr>
        <w:pStyle w:val="ListParagraph"/>
        <w:widowControl w:val="0"/>
        <w:numPr>
          <w:ilvl w:val="0"/>
          <w:numId w:val="29"/>
        </w:numPr>
        <w:spacing w:after="240"/>
        <w:ind w:left="0" w:firstLine="0"/>
        <w:contextualSpacing w:val="0"/>
        <w:jc w:val="both"/>
      </w:pPr>
      <w:r>
        <w:t xml:space="preserve">The </w:t>
      </w:r>
      <w:r w:rsidR="001208EE">
        <w:t>BPNG’s c</w:t>
      </w:r>
      <w:r w:rsidR="00260A46" w:rsidRPr="00D80090">
        <w:t>ontinuous develop</w:t>
      </w:r>
      <w:r w:rsidR="007E7FFE">
        <w:t>ment</w:t>
      </w:r>
      <w:r w:rsidR="00260A46" w:rsidRPr="00D80090">
        <w:t xml:space="preserve"> of robust settlement and custodial systems for all debt securities to enhance participant’s confidence in the operational capacities and to facilitate secondary market and repurchase transactions as well as mitigate potential settlement risks.</w:t>
      </w:r>
      <w:r w:rsidR="00260A46">
        <w:t xml:space="preserve"> </w:t>
      </w:r>
      <w:r w:rsidR="001208EE">
        <w:t xml:space="preserve">A </w:t>
      </w:r>
      <w:r w:rsidR="00260A46" w:rsidRPr="00D80090">
        <w:t xml:space="preserve">Central Securities Depository would be beneficial in the long-term development of the PNG Capital Markets. This is especially vital with the advent of private sector debt issuers taking a more active role in the financing landscape of PNG. </w:t>
      </w:r>
    </w:p>
    <w:p w14:paraId="00D3737F" w14:textId="77777777" w:rsidR="00A96AFA" w:rsidRPr="00720653" w:rsidRDefault="000B5DFA" w:rsidP="00720653">
      <w:pPr>
        <w:pStyle w:val="ListParagraph"/>
        <w:widowControl w:val="0"/>
        <w:spacing w:after="240"/>
        <w:ind w:left="0"/>
        <w:contextualSpacing w:val="0"/>
        <w:jc w:val="center"/>
        <w:rPr>
          <w:rFonts w:cs="Times New Roman"/>
          <w:b/>
        </w:rPr>
      </w:pPr>
      <w:r>
        <w:rPr>
          <w:rFonts w:cs="Times New Roman"/>
          <w:b/>
        </w:rPr>
        <w:t>J</w:t>
      </w:r>
      <w:r w:rsidR="00A96AFA" w:rsidRPr="00720653">
        <w:rPr>
          <w:rFonts w:cs="Times New Roman"/>
          <w:b/>
        </w:rPr>
        <w:t>. Market Infrastructure</w:t>
      </w:r>
    </w:p>
    <w:p w14:paraId="4B028F0D" w14:textId="3E489748" w:rsidR="00774525" w:rsidRDefault="00405922" w:rsidP="00F04788">
      <w:pPr>
        <w:pStyle w:val="ListParagraph"/>
        <w:widowControl w:val="0"/>
        <w:numPr>
          <w:ilvl w:val="0"/>
          <w:numId w:val="2"/>
        </w:numPr>
        <w:spacing w:after="240"/>
        <w:ind w:left="0" w:firstLine="0"/>
        <w:contextualSpacing w:val="0"/>
        <w:jc w:val="both"/>
        <w:rPr>
          <w:rFonts w:cs="Times New Roman"/>
        </w:rPr>
      </w:pPr>
      <w:r>
        <w:rPr>
          <w:rFonts w:cs="Times New Roman"/>
        </w:rPr>
        <w:t>The B</w:t>
      </w:r>
      <w:r w:rsidR="0008504E">
        <w:rPr>
          <w:rFonts w:cs="Times New Roman"/>
        </w:rPr>
        <w:t>PNG</w:t>
      </w:r>
      <w:r>
        <w:rPr>
          <w:rFonts w:cs="Times New Roman"/>
        </w:rPr>
        <w:t xml:space="preserve"> as </w:t>
      </w:r>
      <w:r w:rsidR="0008504E">
        <w:rPr>
          <w:rFonts w:cs="Times New Roman"/>
        </w:rPr>
        <w:t xml:space="preserve">sole </w:t>
      </w:r>
      <w:r>
        <w:rPr>
          <w:rFonts w:cs="Times New Roman"/>
        </w:rPr>
        <w:t xml:space="preserve">Fiscal </w:t>
      </w:r>
      <w:r w:rsidR="00774525" w:rsidRPr="00774525">
        <w:rPr>
          <w:rFonts w:cs="Times New Roman"/>
        </w:rPr>
        <w:t>Agent to the Government of Papua New</w:t>
      </w:r>
      <w:r>
        <w:rPr>
          <w:rFonts w:cs="Times New Roman"/>
        </w:rPr>
        <w:t xml:space="preserve"> Guinea </w:t>
      </w:r>
      <w:r w:rsidR="00774525" w:rsidRPr="00774525">
        <w:rPr>
          <w:rFonts w:cs="Times New Roman"/>
        </w:rPr>
        <w:t>provides Registry and Custodian Services</w:t>
      </w:r>
      <w:r>
        <w:rPr>
          <w:rFonts w:cs="Times New Roman"/>
        </w:rPr>
        <w:t xml:space="preserve"> for government securities</w:t>
      </w:r>
      <w:r w:rsidR="00774525" w:rsidRPr="00774525">
        <w:rPr>
          <w:rFonts w:cs="Times New Roman"/>
        </w:rPr>
        <w:t xml:space="preserve">. This is where all </w:t>
      </w:r>
      <w:r>
        <w:rPr>
          <w:rFonts w:cs="Times New Roman"/>
        </w:rPr>
        <w:t xml:space="preserve">records and details of </w:t>
      </w:r>
      <w:r w:rsidR="00774525" w:rsidRPr="00774525">
        <w:rPr>
          <w:rFonts w:cs="Times New Roman"/>
        </w:rPr>
        <w:t>investor</w:t>
      </w:r>
      <w:r>
        <w:rPr>
          <w:rFonts w:cs="Times New Roman"/>
        </w:rPr>
        <w:t>’s holdings of</w:t>
      </w:r>
      <w:r w:rsidR="007A16CE">
        <w:rPr>
          <w:rFonts w:cs="Times New Roman"/>
        </w:rPr>
        <w:t xml:space="preserve"> Government s</w:t>
      </w:r>
      <w:r w:rsidR="00774525" w:rsidRPr="00774525">
        <w:rPr>
          <w:rFonts w:cs="Times New Roman"/>
        </w:rPr>
        <w:t xml:space="preserve">ecurities </w:t>
      </w:r>
      <w:r w:rsidR="007A16CE">
        <w:rPr>
          <w:rFonts w:cs="Times New Roman"/>
        </w:rPr>
        <w:t>and central bank</w:t>
      </w:r>
      <w:r w:rsidR="00021DDF">
        <w:rPr>
          <w:rFonts w:cs="Times New Roman"/>
        </w:rPr>
        <w:t xml:space="preserve"> bills </w:t>
      </w:r>
      <w:r w:rsidR="00774525" w:rsidRPr="00774525">
        <w:rPr>
          <w:rFonts w:cs="Times New Roman"/>
        </w:rPr>
        <w:t>are kept and maintained. As part of the Registry services, the Bank monitors and records movem</w:t>
      </w:r>
      <w:r w:rsidR="007A16CE">
        <w:rPr>
          <w:rFonts w:cs="Times New Roman"/>
        </w:rPr>
        <w:t>ents in holdings of Government securities and CBBs</w:t>
      </w:r>
      <w:r w:rsidR="00774525" w:rsidRPr="00774525">
        <w:rPr>
          <w:rFonts w:cs="Times New Roman"/>
        </w:rPr>
        <w:t>, makes interest payments to investors</w:t>
      </w:r>
      <w:r w:rsidR="007A16CE">
        <w:rPr>
          <w:rFonts w:cs="Times New Roman"/>
        </w:rPr>
        <w:t>.</w:t>
      </w:r>
    </w:p>
    <w:p w14:paraId="3C36BD3E" w14:textId="77777777" w:rsidR="00774525" w:rsidRDefault="00774525" w:rsidP="00F04788">
      <w:pPr>
        <w:pStyle w:val="ListParagraph"/>
        <w:widowControl w:val="0"/>
        <w:numPr>
          <w:ilvl w:val="0"/>
          <w:numId w:val="2"/>
        </w:numPr>
        <w:spacing w:after="240"/>
        <w:ind w:left="0" w:firstLine="0"/>
        <w:contextualSpacing w:val="0"/>
        <w:jc w:val="both"/>
      </w:pPr>
      <w:r w:rsidRPr="00720653">
        <w:rPr>
          <w:rFonts w:cs="Times New Roman"/>
        </w:rPr>
        <w:t>The SWIFT System is used for settlement of foreign exchange (</w:t>
      </w:r>
      <w:r w:rsidR="00021DDF">
        <w:rPr>
          <w:rFonts w:cs="Times New Roman"/>
        </w:rPr>
        <w:t>FX) transactions between local b</w:t>
      </w:r>
      <w:r w:rsidRPr="00720653">
        <w:rPr>
          <w:rFonts w:cs="Times New Roman"/>
        </w:rPr>
        <w:t>anks and their international counter party b</w:t>
      </w:r>
      <w:r w:rsidR="00021DDF">
        <w:rPr>
          <w:rFonts w:cs="Times New Roman"/>
        </w:rPr>
        <w:t xml:space="preserve">anks. </w:t>
      </w:r>
      <w:r w:rsidR="0008504E">
        <w:rPr>
          <w:rFonts w:cs="Times New Roman"/>
        </w:rPr>
        <w:t xml:space="preserve">The </w:t>
      </w:r>
      <w:r w:rsidR="00021DDF">
        <w:rPr>
          <w:rFonts w:cs="Times New Roman"/>
        </w:rPr>
        <w:t>BPNG also uses SWIFT for s</w:t>
      </w:r>
      <w:r w:rsidRPr="00720653">
        <w:rPr>
          <w:rFonts w:cs="Times New Roman"/>
        </w:rPr>
        <w:t>ettlement of FX transactions with all the c</w:t>
      </w:r>
      <w:r w:rsidRPr="00774525">
        <w:t>ommercial banks.</w:t>
      </w:r>
    </w:p>
    <w:p w14:paraId="1B06B876" w14:textId="01E07615" w:rsidR="003924CC" w:rsidRPr="00E850F5" w:rsidRDefault="003924CC" w:rsidP="00F04788">
      <w:pPr>
        <w:pStyle w:val="ListParagraph"/>
        <w:widowControl w:val="0"/>
        <w:numPr>
          <w:ilvl w:val="0"/>
          <w:numId w:val="5"/>
        </w:numPr>
        <w:spacing w:after="240"/>
        <w:ind w:left="0" w:firstLine="0"/>
        <w:contextualSpacing w:val="0"/>
        <w:jc w:val="both"/>
        <w:rPr>
          <w:rFonts w:cs="Times New Roman"/>
        </w:rPr>
      </w:pPr>
      <w:r w:rsidRPr="003924CC">
        <w:rPr>
          <w:rFonts w:cs="Times New Roman"/>
        </w:rPr>
        <w:t xml:space="preserve">Clearing and settlement </w:t>
      </w:r>
      <w:r w:rsidR="007A16CE">
        <w:rPr>
          <w:rFonts w:cs="Times New Roman"/>
        </w:rPr>
        <w:t xml:space="preserve">and the primary market auctions </w:t>
      </w:r>
      <w:r w:rsidRPr="003924CC">
        <w:rPr>
          <w:rFonts w:cs="Times New Roman"/>
        </w:rPr>
        <w:t>for government securities</w:t>
      </w:r>
      <w:r w:rsidR="007A16CE">
        <w:rPr>
          <w:rFonts w:cs="Times New Roman"/>
        </w:rPr>
        <w:t xml:space="preserve"> and CBBs</w:t>
      </w:r>
      <w:r w:rsidRPr="003924CC">
        <w:rPr>
          <w:rFonts w:cs="Times New Roman"/>
        </w:rPr>
        <w:t xml:space="preserve"> </w:t>
      </w:r>
      <w:r w:rsidR="007A16CE" w:rsidRPr="003924CC">
        <w:rPr>
          <w:rFonts w:cs="Times New Roman"/>
        </w:rPr>
        <w:t>are</w:t>
      </w:r>
      <w:r w:rsidRPr="003924CC">
        <w:rPr>
          <w:rFonts w:cs="Times New Roman"/>
        </w:rPr>
        <w:t xml:space="preserve"> carried out by the BPNG and currently </w:t>
      </w:r>
      <w:r w:rsidR="007A16CE" w:rsidRPr="003924CC">
        <w:rPr>
          <w:rFonts w:cs="Times New Roman"/>
        </w:rPr>
        <w:t>remain</w:t>
      </w:r>
      <w:r w:rsidRPr="003924CC">
        <w:rPr>
          <w:rFonts w:cs="Times New Roman"/>
        </w:rPr>
        <w:t xml:space="preserve"> manual. </w:t>
      </w:r>
      <w:r w:rsidR="00774525">
        <w:t xml:space="preserve">In the primary market for government securities and central bank bills, registered bidders </w:t>
      </w:r>
      <w:r>
        <w:t xml:space="preserve">are </w:t>
      </w:r>
      <w:proofErr w:type="gramStart"/>
      <w:r>
        <w:t>eligible</w:t>
      </w:r>
      <w:proofErr w:type="gramEnd"/>
      <w:r>
        <w:t xml:space="preserve"> to </w:t>
      </w:r>
      <w:r w:rsidR="00774525">
        <w:t xml:space="preserve">place bids without accompanying payment instructions nor are </w:t>
      </w:r>
      <w:r w:rsidR="0008504E">
        <w:t xml:space="preserve">they </w:t>
      </w:r>
      <w:r w:rsidR="00774525">
        <w:t>required to show a minimum balance in the bidder</w:t>
      </w:r>
      <w:r w:rsidR="00021DDF">
        <w:t>’</w:t>
      </w:r>
      <w:r w:rsidR="00774525">
        <w:t>s</w:t>
      </w:r>
      <w:r>
        <w:t xml:space="preserve"> settlement account</w:t>
      </w:r>
      <w:r w:rsidR="00774525">
        <w:t xml:space="preserve">, </w:t>
      </w:r>
      <w:r>
        <w:t xml:space="preserve">which are </w:t>
      </w:r>
      <w:r w:rsidR="00774525">
        <w:t>mostly commercial</w:t>
      </w:r>
      <w:r>
        <w:t xml:space="preserve"> banks</w:t>
      </w:r>
      <w:r w:rsidR="00774525">
        <w:t xml:space="preserve">. Non-registered bidders are required to submit </w:t>
      </w:r>
      <w:proofErr w:type="spellStart"/>
      <w:r w:rsidR="00774525">
        <w:t>cheques</w:t>
      </w:r>
      <w:proofErr w:type="spellEnd"/>
      <w:r w:rsidR="00774525">
        <w:t xml:space="preserve"> for the face value of the securities being bid along with the bidding documents. </w:t>
      </w:r>
      <w:r>
        <w:t xml:space="preserve">Upon allocation of securities to registered bidders, the awarded tenders </w:t>
      </w:r>
      <w:r w:rsidR="00774525">
        <w:t xml:space="preserve">amount is collected from the exchange settlement account of </w:t>
      </w:r>
      <w:r>
        <w:t xml:space="preserve">banks, and in the case of non-registered </w:t>
      </w:r>
      <w:r w:rsidR="00774525">
        <w:t xml:space="preserve">bidders the previously submitted </w:t>
      </w:r>
      <w:proofErr w:type="spellStart"/>
      <w:r w:rsidR="00774525">
        <w:t>cheques</w:t>
      </w:r>
      <w:proofErr w:type="spellEnd"/>
      <w:r w:rsidR="00774525">
        <w:t xml:space="preserve"> are presented in the clearinghouse for settlement. </w:t>
      </w:r>
    </w:p>
    <w:p w14:paraId="7A81A704" w14:textId="59B9D5F5" w:rsidR="00E850F5" w:rsidRPr="003924CC" w:rsidRDefault="00E850F5" w:rsidP="00F04788">
      <w:pPr>
        <w:pStyle w:val="ListParagraph"/>
        <w:widowControl w:val="0"/>
        <w:numPr>
          <w:ilvl w:val="0"/>
          <w:numId w:val="5"/>
        </w:numPr>
        <w:spacing w:after="240"/>
        <w:ind w:left="0" w:firstLine="0"/>
        <w:contextualSpacing w:val="0"/>
        <w:jc w:val="both"/>
        <w:rPr>
          <w:rFonts w:cs="Times New Roman"/>
        </w:rPr>
      </w:pPr>
      <w:r>
        <w:t xml:space="preserve">BPNG’s Registry and Money Market System (RMS) is used as the registry for all Central Bank Bills, Treasury Bills and Government Inscribed Stock, which are </w:t>
      </w:r>
      <w:proofErr w:type="spellStart"/>
      <w:r>
        <w:t>dematerialised</w:t>
      </w:r>
      <w:proofErr w:type="spellEnd"/>
      <w:r>
        <w:t>. RMS is also used to support the securities auction process and for registering transfers of ownership on the s</w:t>
      </w:r>
      <w:r w:rsidR="00A63A97">
        <w:t>econdary market. However, RMS does</w:t>
      </w:r>
      <w:r>
        <w:t xml:space="preserve"> not contain the complete functionality of a full-fledged CSD. </w:t>
      </w:r>
    </w:p>
    <w:p w14:paraId="6BDF3E89" w14:textId="77777777" w:rsidR="00774525" w:rsidRPr="00774525" w:rsidRDefault="00774525" w:rsidP="00F04788">
      <w:pPr>
        <w:pStyle w:val="ListParagraph"/>
        <w:widowControl w:val="0"/>
        <w:numPr>
          <w:ilvl w:val="0"/>
          <w:numId w:val="5"/>
        </w:numPr>
        <w:spacing w:after="240"/>
        <w:ind w:left="0" w:firstLine="0"/>
        <w:contextualSpacing w:val="0"/>
        <w:jc w:val="both"/>
      </w:pPr>
      <w:r>
        <w:t xml:space="preserve">The </w:t>
      </w:r>
      <w:r w:rsidR="0010261D">
        <w:t xml:space="preserve">secondary market transactions are for the most part non-existent. In the event of a transaction </w:t>
      </w:r>
      <w:r>
        <w:t xml:space="preserve">from a procedural standpoint the seller and buyer </w:t>
      </w:r>
      <w:r w:rsidR="00021DDF">
        <w:t xml:space="preserve">will </w:t>
      </w:r>
      <w:r>
        <w:t>have to submit a transfer and acceptance agreement, respectively, to the BPNG. Upon receipt of both these agreements, the BPNG effects the change in ownership; however, the payment leg of the transaction is executed independently of the change in ownership.</w:t>
      </w:r>
    </w:p>
    <w:p w14:paraId="6E6F0C65" w14:textId="77777777" w:rsidR="00F527D5" w:rsidRPr="00F2097A" w:rsidRDefault="009039BD" w:rsidP="00F2097A">
      <w:pPr>
        <w:pStyle w:val="ListParagraph"/>
        <w:widowControl w:val="0"/>
        <w:numPr>
          <w:ilvl w:val="0"/>
          <w:numId w:val="5"/>
        </w:numPr>
        <w:spacing w:after="240"/>
        <w:ind w:left="0" w:firstLine="0"/>
        <w:contextualSpacing w:val="0"/>
        <w:jc w:val="both"/>
        <w:rPr>
          <w:rFonts w:cs="Times New Roman"/>
        </w:rPr>
      </w:pPr>
      <w:r w:rsidRPr="009039BD">
        <w:t xml:space="preserve">The </w:t>
      </w:r>
      <w:r>
        <w:t xml:space="preserve">current </w:t>
      </w:r>
      <w:r w:rsidRPr="009039BD">
        <w:t>securities sett</w:t>
      </w:r>
      <w:r>
        <w:t xml:space="preserve">lement process exposes counterparties to </w:t>
      </w:r>
      <w:r w:rsidRPr="009039BD">
        <w:t>settlement risk.</w:t>
      </w:r>
      <w:r>
        <w:t xml:space="preserve"> </w:t>
      </w:r>
      <w:r w:rsidR="00774525" w:rsidRPr="009039BD">
        <w:rPr>
          <w:rFonts w:cs="Times New Roman"/>
        </w:rPr>
        <w:t xml:space="preserve">Funds </w:t>
      </w:r>
      <w:r w:rsidR="00021DDF">
        <w:rPr>
          <w:rFonts w:cs="Times New Roman"/>
        </w:rPr>
        <w:t xml:space="preserve">and securities </w:t>
      </w:r>
      <w:r w:rsidR="0010261D" w:rsidRPr="009039BD">
        <w:rPr>
          <w:rFonts w:cs="Times New Roman"/>
        </w:rPr>
        <w:t xml:space="preserve">settlement for purchases in the primary market is </w:t>
      </w:r>
      <w:r w:rsidR="00774525" w:rsidRPr="009039BD">
        <w:rPr>
          <w:rFonts w:cs="Times New Roman"/>
        </w:rPr>
        <w:t>T+2</w:t>
      </w:r>
      <w:r w:rsidR="0010261D" w:rsidRPr="009039BD">
        <w:rPr>
          <w:rFonts w:cs="Times New Roman"/>
        </w:rPr>
        <w:t xml:space="preserve"> for T-bills and CBBs</w:t>
      </w:r>
      <w:r w:rsidR="00774525" w:rsidRPr="009039BD">
        <w:rPr>
          <w:rFonts w:cs="Times New Roman"/>
        </w:rPr>
        <w:t xml:space="preserve"> </w:t>
      </w:r>
      <w:r w:rsidR="0010261D" w:rsidRPr="009039BD">
        <w:rPr>
          <w:rFonts w:cs="Times New Roman"/>
        </w:rPr>
        <w:t>and</w:t>
      </w:r>
      <w:r w:rsidR="00774525" w:rsidRPr="009039BD">
        <w:rPr>
          <w:rFonts w:cs="Times New Roman"/>
        </w:rPr>
        <w:t xml:space="preserve"> T+3</w:t>
      </w:r>
      <w:r w:rsidR="0010261D" w:rsidRPr="009039BD">
        <w:rPr>
          <w:rFonts w:cs="Times New Roman"/>
        </w:rPr>
        <w:t xml:space="preserve"> </w:t>
      </w:r>
      <w:r>
        <w:rPr>
          <w:rFonts w:cs="Times New Roman"/>
        </w:rPr>
        <w:t xml:space="preserve">for government inscribed stock and given the registered bidders are not </w:t>
      </w:r>
      <w:r>
        <w:rPr>
          <w:rFonts w:cs="Times New Roman"/>
        </w:rPr>
        <w:lastRenderedPageBreak/>
        <w:t>required to prove</w:t>
      </w:r>
      <w:r w:rsidR="003B02B9">
        <w:rPr>
          <w:rFonts w:cs="Times New Roman"/>
        </w:rPr>
        <w:t xml:space="preserve"> </w:t>
      </w:r>
      <w:r w:rsidR="00024640">
        <w:rPr>
          <w:rFonts w:cs="Times New Roman"/>
        </w:rPr>
        <w:t xml:space="preserve">that </w:t>
      </w:r>
      <w:r w:rsidR="003B02B9">
        <w:rPr>
          <w:rFonts w:cs="Times New Roman"/>
        </w:rPr>
        <w:t xml:space="preserve">adequate funds are in the ESA at the time of bidding and </w:t>
      </w:r>
      <w:r w:rsidR="00774525" w:rsidRPr="003B02B9">
        <w:rPr>
          <w:rFonts w:cs="Times New Roman"/>
        </w:rPr>
        <w:t>the lack of delivery-versus-payment</w:t>
      </w:r>
      <w:r w:rsidR="00024640">
        <w:rPr>
          <w:rFonts w:cs="Times New Roman"/>
        </w:rPr>
        <w:t>, this</w:t>
      </w:r>
      <w:r w:rsidR="00774525" w:rsidRPr="003B02B9">
        <w:rPr>
          <w:rFonts w:cs="Times New Roman"/>
        </w:rPr>
        <w:t xml:space="preserve"> exposes the Treasury </w:t>
      </w:r>
      <w:r w:rsidR="0010261D" w:rsidRPr="003B02B9">
        <w:rPr>
          <w:rFonts w:cs="Times New Roman"/>
        </w:rPr>
        <w:t xml:space="preserve">and </w:t>
      </w:r>
      <w:r w:rsidR="00024640">
        <w:rPr>
          <w:rFonts w:cs="Times New Roman"/>
        </w:rPr>
        <w:t xml:space="preserve">the </w:t>
      </w:r>
      <w:r w:rsidR="0010261D" w:rsidRPr="003B02B9">
        <w:rPr>
          <w:rFonts w:cs="Times New Roman"/>
        </w:rPr>
        <w:t xml:space="preserve">BPNG </w:t>
      </w:r>
      <w:r w:rsidR="00774525" w:rsidRPr="003B02B9">
        <w:rPr>
          <w:rFonts w:cs="Times New Roman"/>
        </w:rPr>
        <w:t xml:space="preserve">to settlement risk. </w:t>
      </w:r>
      <w:r w:rsidR="00F2097A">
        <w:rPr>
          <w:rFonts w:cs="Times New Roman"/>
        </w:rPr>
        <w:t xml:space="preserve"> </w:t>
      </w:r>
      <w:r w:rsidR="00774525" w:rsidRPr="00F2097A">
        <w:rPr>
          <w:rFonts w:cs="Times New Roman"/>
        </w:rPr>
        <w:t xml:space="preserve">Similarly, secondary market transactions </w:t>
      </w:r>
      <w:r w:rsidR="0010261D" w:rsidRPr="00F2097A">
        <w:rPr>
          <w:rFonts w:cs="Times New Roman"/>
        </w:rPr>
        <w:t xml:space="preserve">are T+3 and </w:t>
      </w:r>
      <w:r w:rsidR="00774525" w:rsidRPr="00F2097A">
        <w:rPr>
          <w:rFonts w:cs="Times New Roman"/>
        </w:rPr>
        <w:t>would expose traders, investors, and intermediaries to similar settlement risk.</w:t>
      </w:r>
      <w:r w:rsidR="003B02B9">
        <w:t xml:space="preserve"> </w:t>
      </w:r>
    </w:p>
    <w:p w14:paraId="353B7DFF" w14:textId="77777777" w:rsidR="00F527D5" w:rsidRPr="001F2ADF" w:rsidRDefault="00F2097A" w:rsidP="00F04788">
      <w:pPr>
        <w:pStyle w:val="ListParagraph"/>
        <w:widowControl w:val="0"/>
        <w:numPr>
          <w:ilvl w:val="0"/>
          <w:numId w:val="5"/>
        </w:numPr>
        <w:spacing w:after="240"/>
        <w:ind w:left="0" w:firstLine="0"/>
        <w:contextualSpacing w:val="0"/>
        <w:jc w:val="both"/>
      </w:pPr>
      <w:r>
        <w:t>Globally t</w:t>
      </w:r>
      <w:r w:rsidR="001F625C">
        <w:t>he majority of secondary bond market</w:t>
      </w:r>
      <w:r w:rsidR="00F527D5" w:rsidRPr="001F2ADF">
        <w:t xml:space="preserve"> </w:t>
      </w:r>
      <w:r w:rsidR="001F625C">
        <w:t>transactions are traded over-the-</w:t>
      </w:r>
      <w:r w:rsidR="00F527D5" w:rsidRPr="001F2ADF">
        <w:t>counter</w:t>
      </w:r>
      <w:r w:rsidR="001F625C">
        <w:t xml:space="preserve"> (OTC)</w:t>
      </w:r>
      <w:r w:rsidR="00F527D5" w:rsidRPr="001F2ADF">
        <w:t xml:space="preserve">, as opposed to the use of an exchange, </w:t>
      </w:r>
      <w:r w:rsidR="001F625C">
        <w:t xml:space="preserve">and </w:t>
      </w:r>
      <w:r w:rsidR="00F527D5" w:rsidRPr="001F2ADF">
        <w:t>the vast majority of these trades are settled through electronic settlement platforms, as opposed to registries. Examples of electronic systems are as follows:</w:t>
      </w:r>
    </w:p>
    <w:p w14:paraId="465D6A7D" w14:textId="77777777" w:rsidR="00F527D5" w:rsidRPr="001F2ADF" w:rsidRDefault="001F625C" w:rsidP="00F04788">
      <w:pPr>
        <w:numPr>
          <w:ilvl w:val="0"/>
          <w:numId w:val="10"/>
        </w:numPr>
        <w:spacing w:before="120" w:after="120"/>
        <w:contextualSpacing/>
        <w:jc w:val="both"/>
      </w:pPr>
      <w:proofErr w:type="spellStart"/>
      <w:r>
        <w:t>Austraclear</w:t>
      </w:r>
      <w:proofErr w:type="spellEnd"/>
      <w:r>
        <w:t>;</w:t>
      </w:r>
    </w:p>
    <w:p w14:paraId="08CB28DC" w14:textId="77777777" w:rsidR="00F527D5" w:rsidRPr="001F2ADF" w:rsidRDefault="001F625C" w:rsidP="00F04788">
      <w:pPr>
        <w:numPr>
          <w:ilvl w:val="0"/>
          <w:numId w:val="10"/>
        </w:numPr>
        <w:spacing w:before="120" w:after="120"/>
        <w:contextualSpacing/>
        <w:jc w:val="both"/>
      </w:pPr>
      <w:proofErr w:type="spellStart"/>
      <w:r>
        <w:t>Clearstream</w:t>
      </w:r>
      <w:proofErr w:type="spellEnd"/>
      <w:r>
        <w:t>;</w:t>
      </w:r>
      <w:r w:rsidR="00F527D5" w:rsidRPr="001F2ADF">
        <w:t xml:space="preserve"> </w:t>
      </w:r>
    </w:p>
    <w:p w14:paraId="74EB4587" w14:textId="77777777" w:rsidR="00F527D5" w:rsidRDefault="001F625C" w:rsidP="00F04788">
      <w:pPr>
        <w:numPr>
          <w:ilvl w:val="0"/>
          <w:numId w:val="10"/>
        </w:numPr>
        <w:spacing w:before="120" w:after="120"/>
        <w:contextualSpacing/>
        <w:jc w:val="both"/>
      </w:pPr>
      <w:proofErr w:type="spellStart"/>
      <w:r>
        <w:t>Euroclear</w:t>
      </w:r>
      <w:proofErr w:type="spellEnd"/>
      <w:r>
        <w:t>; and,</w:t>
      </w:r>
    </w:p>
    <w:p w14:paraId="00D7426F" w14:textId="77777777" w:rsidR="001F625C" w:rsidRDefault="00F527D5" w:rsidP="003F7E85">
      <w:pPr>
        <w:numPr>
          <w:ilvl w:val="0"/>
          <w:numId w:val="10"/>
        </w:numPr>
        <w:spacing w:before="120" w:after="120"/>
        <w:contextualSpacing/>
        <w:jc w:val="both"/>
      </w:pPr>
      <w:r w:rsidRPr="001F2ADF">
        <w:t>The Depository Trust and Clearing (DTC), which is a subsidiary of The Deposit Trust and Clearing Corporati</w:t>
      </w:r>
      <w:r w:rsidR="001F625C">
        <w:t>on (DTCC) in the United States.</w:t>
      </w:r>
    </w:p>
    <w:p w14:paraId="5D1C4F80" w14:textId="77777777" w:rsidR="00F527D5" w:rsidRDefault="00007300" w:rsidP="00F04788">
      <w:pPr>
        <w:pStyle w:val="ListParagraph"/>
        <w:widowControl w:val="0"/>
        <w:numPr>
          <w:ilvl w:val="0"/>
          <w:numId w:val="5"/>
        </w:numPr>
        <w:spacing w:after="240"/>
        <w:ind w:left="0" w:firstLine="0"/>
        <w:contextualSpacing w:val="0"/>
        <w:jc w:val="both"/>
      </w:pPr>
      <w:r>
        <w:t>International i</w:t>
      </w:r>
      <w:r w:rsidR="00F527D5" w:rsidRPr="001F2ADF">
        <w:t>nstitutional inve</w:t>
      </w:r>
      <w:r>
        <w:t xml:space="preserve">stors settle through international best practice, </w:t>
      </w:r>
      <w:r w:rsidR="00F527D5" w:rsidRPr="001F2ADF">
        <w:t>electro</w:t>
      </w:r>
      <w:r w:rsidR="00F2097A">
        <w:t>nic settlement, and not registries</w:t>
      </w:r>
      <w:r w:rsidR="00F527D5" w:rsidRPr="001F2ADF">
        <w:t>. Since institutional inve</w:t>
      </w:r>
      <w:r>
        <w:t xml:space="preserve">stors are </w:t>
      </w:r>
      <w:r w:rsidR="00021DDF">
        <w:t>now heavily regulated and their investment policies essentially</w:t>
      </w:r>
      <w:r>
        <w:t xml:space="preserve"> prohibit</w:t>
      </w:r>
      <w:r w:rsidR="00021DDF">
        <w:t>s</w:t>
      </w:r>
      <w:r w:rsidR="00F527D5" w:rsidRPr="001F2ADF">
        <w:t xml:space="preserve"> the use of non-standard settlement formats, like r</w:t>
      </w:r>
      <w:r>
        <w:t xml:space="preserve">egistries. </w:t>
      </w:r>
    </w:p>
    <w:p w14:paraId="2222BDAA" w14:textId="77777777" w:rsidR="00F527D5" w:rsidRDefault="00F527D5" w:rsidP="00F04788">
      <w:pPr>
        <w:pStyle w:val="ListParagraph"/>
        <w:widowControl w:val="0"/>
        <w:numPr>
          <w:ilvl w:val="0"/>
          <w:numId w:val="5"/>
        </w:numPr>
        <w:spacing w:after="240"/>
        <w:ind w:left="0" w:firstLine="0"/>
        <w:contextualSpacing w:val="0"/>
        <w:jc w:val="both"/>
      </w:pPr>
      <w:r w:rsidRPr="00021DDF">
        <w:t>Members of local</w:t>
      </w:r>
      <w:r w:rsidRPr="001F2ADF">
        <w:t xml:space="preserve"> funds will benefit from enhanced security using electronic settlement. Electronic settlement is also required for global investors, who may wish to invest in PGK bonds. Such settlement, specifically for fixed income, is not be confused with the recent real time gross settlement (RTGS), in November 2013, also known as the Kina Automated Transfer System (KATS), which involves processing of inter-bank high-value payments. KATS integrates all commercial banks, </w:t>
      </w:r>
      <w:r w:rsidR="00024640">
        <w:t xml:space="preserve">the </w:t>
      </w:r>
      <w:r w:rsidRPr="001F2ADF">
        <w:t>BPNG</w:t>
      </w:r>
      <w:r w:rsidR="00021DDF">
        <w:t xml:space="preserve">, and government institutions. </w:t>
      </w:r>
      <w:r w:rsidRPr="001F2ADF">
        <w:t xml:space="preserve">Given that electronic settlement enables global intuitional investor participation, this is seen as the most important initiative of those described herein. While KATS remains a distinct system, relating to payment, it is conceivable that electronic settlement of bonds might well </w:t>
      </w:r>
      <w:proofErr w:type="gramStart"/>
      <w:r w:rsidRPr="001F2ADF">
        <w:t>be</w:t>
      </w:r>
      <w:proofErr w:type="gramEnd"/>
      <w:r w:rsidRPr="001F2ADF">
        <w:t xml:space="preserve"> linked to it, so as to achieve the payment asp</w:t>
      </w:r>
      <w:r w:rsidR="00021DDF">
        <w:t>ect of delivery vs. payment (DVP)</w:t>
      </w:r>
      <w:r w:rsidRPr="001F2ADF">
        <w:t xml:space="preserve">. </w:t>
      </w:r>
    </w:p>
    <w:p w14:paraId="29D2F1BC" w14:textId="77777777" w:rsidR="003B02B9" w:rsidRPr="00BF2BFB" w:rsidRDefault="00007300" w:rsidP="00F527D5">
      <w:pPr>
        <w:spacing w:before="120" w:after="120"/>
        <w:jc w:val="both"/>
        <w:rPr>
          <w:i/>
          <w:u w:val="single"/>
        </w:rPr>
      </w:pPr>
      <w:r w:rsidRPr="00BF2BFB">
        <w:rPr>
          <w:i/>
          <w:u w:val="single"/>
        </w:rPr>
        <w:t>Recent Initiatives-</w:t>
      </w:r>
    </w:p>
    <w:p w14:paraId="1C907E02" w14:textId="77777777" w:rsidR="003B02B9" w:rsidRDefault="00024640" w:rsidP="00F04788">
      <w:pPr>
        <w:pStyle w:val="ListParagraph"/>
        <w:widowControl w:val="0"/>
        <w:numPr>
          <w:ilvl w:val="0"/>
          <w:numId w:val="5"/>
        </w:numPr>
        <w:spacing w:after="240"/>
        <w:ind w:left="0" w:firstLine="0"/>
        <w:contextualSpacing w:val="0"/>
        <w:jc w:val="both"/>
        <w:rPr>
          <w:rFonts w:cs="Times New Roman"/>
        </w:rPr>
      </w:pPr>
      <w:r>
        <w:rPr>
          <w:rFonts w:cs="Times New Roman"/>
        </w:rPr>
        <w:t xml:space="preserve">The </w:t>
      </w:r>
      <w:r w:rsidR="003B02B9">
        <w:rPr>
          <w:rFonts w:cs="Times New Roman"/>
        </w:rPr>
        <w:t>BPNG has</w:t>
      </w:r>
      <w:r w:rsidR="003B02B9" w:rsidRPr="00A862A0">
        <w:rPr>
          <w:rFonts w:cs="Times New Roman"/>
        </w:rPr>
        <w:t xml:space="preserve"> done an initial evaluation </w:t>
      </w:r>
      <w:r w:rsidR="003B02B9">
        <w:rPr>
          <w:rFonts w:cs="Times New Roman"/>
        </w:rPr>
        <w:t xml:space="preserve">of </w:t>
      </w:r>
      <w:proofErr w:type="spellStart"/>
      <w:r w:rsidR="003B02B9" w:rsidRPr="00A862A0">
        <w:rPr>
          <w:rFonts w:cs="Times New Roman"/>
        </w:rPr>
        <w:t>Austraclear</w:t>
      </w:r>
      <w:proofErr w:type="spellEnd"/>
      <w:r w:rsidR="003B02B9" w:rsidRPr="00A862A0">
        <w:rPr>
          <w:rFonts w:cs="Times New Roman"/>
        </w:rPr>
        <w:t xml:space="preserve"> </w:t>
      </w:r>
      <w:r w:rsidR="003B02B9" w:rsidRPr="00A862A0">
        <w:rPr>
          <w:rFonts w:cs="Times New Roman"/>
          <w:vertAlign w:val="superscript"/>
        </w:rPr>
        <w:footnoteReference w:id="25"/>
      </w:r>
      <w:r w:rsidR="003B02B9" w:rsidRPr="00A862A0">
        <w:rPr>
          <w:rFonts w:cs="Times New Roman"/>
        </w:rPr>
        <w:t xml:space="preserve"> electronic </w:t>
      </w:r>
      <w:r w:rsidR="00B35865">
        <w:rPr>
          <w:rFonts w:cs="Times New Roman"/>
        </w:rPr>
        <w:t xml:space="preserve">clearing, settlement, and custodial </w:t>
      </w:r>
      <w:r w:rsidR="003B02B9" w:rsidRPr="00A862A0">
        <w:rPr>
          <w:rFonts w:cs="Times New Roman"/>
        </w:rPr>
        <w:t xml:space="preserve">system. However, currently there appears to be no initiative to consider adopting, acquiring, and implementing </w:t>
      </w:r>
      <w:proofErr w:type="spellStart"/>
      <w:r w:rsidR="003B02B9" w:rsidRPr="00A862A0">
        <w:rPr>
          <w:rFonts w:cs="Times New Roman"/>
        </w:rPr>
        <w:t>Austraclear</w:t>
      </w:r>
      <w:proofErr w:type="spellEnd"/>
      <w:r w:rsidR="003B02B9" w:rsidRPr="00A862A0">
        <w:rPr>
          <w:rFonts w:cs="Times New Roman"/>
        </w:rPr>
        <w:t xml:space="preserve"> or </w:t>
      </w:r>
      <w:r w:rsidR="003B02B9">
        <w:rPr>
          <w:rFonts w:cs="Times New Roman"/>
        </w:rPr>
        <w:t xml:space="preserve">any </w:t>
      </w:r>
      <w:r w:rsidR="003B02B9" w:rsidRPr="00A862A0">
        <w:rPr>
          <w:rFonts w:cs="Times New Roman"/>
        </w:rPr>
        <w:t xml:space="preserve">other like electronic systems. </w:t>
      </w:r>
    </w:p>
    <w:p w14:paraId="6E3EDBDB" w14:textId="77777777" w:rsidR="006C4879" w:rsidRPr="006C4879" w:rsidRDefault="00F04788" w:rsidP="006C4879">
      <w:pPr>
        <w:rPr>
          <w:b/>
          <w:i/>
          <w:u w:val="single"/>
        </w:rPr>
      </w:pPr>
      <w:r w:rsidRPr="006C4879">
        <w:rPr>
          <w:rFonts w:cs="Times New Roman"/>
          <w:b/>
          <w:noProof/>
          <w:u w:val="single"/>
          <w:lang w:eastAsia="en-US"/>
        </w:rPr>
        <w:lastRenderedPageBreak/>
        <mc:AlternateContent>
          <mc:Choice Requires="wps">
            <w:drawing>
              <wp:anchor distT="0" distB="0" distL="114300" distR="114300" simplePos="0" relativeHeight="251659264" behindDoc="0" locked="0" layoutInCell="1" allowOverlap="1" wp14:anchorId="0E13F5FD" wp14:editId="2ED0A967">
                <wp:simplePos x="0" y="0"/>
                <wp:positionH relativeFrom="column">
                  <wp:posOffset>0</wp:posOffset>
                </wp:positionH>
                <wp:positionV relativeFrom="paragraph">
                  <wp:posOffset>342900</wp:posOffset>
                </wp:positionV>
                <wp:extent cx="5486400" cy="48006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5486400" cy="4800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FFDB89" w14:textId="77777777" w:rsidR="00465DA3" w:rsidRPr="006C4879" w:rsidRDefault="00465DA3">
                            <w:pPr>
                              <w:rPr>
                                <w:b/>
                                <w:i/>
                              </w:rPr>
                            </w:pPr>
                            <w:proofErr w:type="spellStart"/>
                            <w:r w:rsidRPr="006C4879">
                              <w:rPr>
                                <w:b/>
                                <w:i/>
                              </w:rPr>
                              <w:t>Austraclear</w:t>
                            </w:r>
                            <w:proofErr w:type="spellEnd"/>
                            <w:r w:rsidRPr="006C4879">
                              <w:rPr>
                                <w:b/>
                                <w:i/>
                              </w:rPr>
                              <w:t xml:space="preserve"> Transaction Process:</w:t>
                            </w:r>
                          </w:p>
                          <w:p w14:paraId="4695FE78" w14:textId="77777777" w:rsidR="00465DA3" w:rsidRDefault="00465DA3"/>
                          <w:p w14:paraId="03502A6C" w14:textId="77777777" w:rsidR="00465DA3" w:rsidRDefault="00465DA3" w:rsidP="00F04788">
                            <w:pPr>
                              <w:pStyle w:val="ListParagraph"/>
                              <w:numPr>
                                <w:ilvl w:val="0"/>
                                <w:numId w:val="21"/>
                              </w:numPr>
                              <w:jc w:val="both"/>
                            </w:pPr>
                            <w:r>
                              <w:t>Transaction input on Trade Date:</w:t>
                            </w:r>
                          </w:p>
                          <w:p w14:paraId="35782922" w14:textId="77777777" w:rsidR="00465DA3" w:rsidRDefault="00465DA3" w:rsidP="00F04788">
                            <w:pPr>
                              <w:pStyle w:val="ListParagraph"/>
                              <w:numPr>
                                <w:ilvl w:val="0"/>
                                <w:numId w:val="22"/>
                              </w:numPr>
                              <w:jc w:val="both"/>
                            </w:pPr>
                            <w:r>
                              <w:t xml:space="preserve">Trade instructions are input by both </w:t>
                            </w:r>
                            <w:proofErr w:type="spellStart"/>
                            <w:r>
                              <w:t>Austraclear</w:t>
                            </w:r>
                            <w:proofErr w:type="spellEnd"/>
                            <w:r>
                              <w:t xml:space="preserve"> Participants (dual entry);</w:t>
                            </w:r>
                          </w:p>
                          <w:p w14:paraId="5DCEC429" w14:textId="77777777" w:rsidR="00465DA3" w:rsidRDefault="00465DA3" w:rsidP="00F04788">
                            <w:pPr>
                              <w:pStyle w:val="ListParagraph"/>
                              <w:numPr>
                                <w:ilvl w:val="0"/>
                                <w:numId w:val="22"/>
                              </w:numPr>
                              <w:jc w:val="both"/>
                            </w:pPr>
                            <w:r>
                              <w:t xml:space="preserve">Trade instructions are approved subject to </w:t>
                            </w:r>
                            <w:proofErr w:type="spellStart"/>
                            <w:r>
                              <w:t>Austraclear</w:t>
                            </w:r>
                            <w:proofErr w:type="spellEnd"/>
                            <w:r>
                              <w:t xml:space="preserve"> Participant’s policy;</w:t>
                            </w:r>
                          </w:p>
                          <w:p w14:paraId="60483C53" w14:textId="77777777" w:rsidR="00465DA3" w:rsidRDefault="00465DA3" w:rsidP="00F04788">
                            <w:pPr>
                              <w:pStyle w:val="ListParagraph"/>
                              <w:numPr>
                                <w:ilvl w:val="0"/>
                                <w:numId w:val="22"/>
                              </w:numPr>
                              <w:jc w:val="both"/>
                            </w:pPr>
                            <w:proofErr w:type="spellStart"/>
                            <w:r>
                              <w:t>Austraclear</w:t>
                            </w:r>
                            <w:proofErr w:type="spellEnd"/>
                            <w:r>
                              <w:t xml:space="preserve"> matches the transaction.</w:t>
                            </w:r>
                          </w:p>
                          <w:p w14:paraId="4E3F176A" w14:textId="77777777" w:rsidR="00465DA3" w:rsidRDefault="00465DA3" w:rsidP="00F04788">
                            <w:pPr>
                              <w:pStyle w:val="ListParagraph"/>
                              <w:jc w:val="both"/>
                            </w:pPr>
                          </w:p>
                          <w:p w14:paraId="6572207C" w14:textId="77777777" w:rsidR="00465DA3" w:rsidRDefault="00465DA3" w:rsidP="00F04788">
                            <w:pPr>
                              <w:pStyle w:val="ListParagraph"/>
                              <w:numPr>
                                <w:ilvl w:val="0"/>
                                <w:numId w:val="21"/>
                              </w:numPr>
                              <w:jc w:val="both"/>
                            </w:pPr>
                            <w:r>
                              <w:t>Settlement on Settlement Date:</w:t>
                            </w:r>
                          </w:p>
                          <w:p w14:paraId="66553339" w14:textId="77777777" w:rsidR="00465DA3" w:rsidRDefault="00465DA3" w:rsidP="00F04788">
                            <w:pPr>
                              <w:pStyle w:val="ListParagraph"/>
                              <w:numPr>
                                <w:ilvl w:val="0"/>
                                <w:numId w:val="23"/>
                              </w:numPr>
                              <w:jc w:val="both"/>
                            </w:pPr>
                            <w:proofErr w:type="spellStart"/>
                            <w:r>
                              <w:t>Austraclear</w:t>
                            </w:r>
                            <w:proofErr w:type="spellEnd"/>
                            <w:r>
                              <w:t xml:space="preserve"> confirms the sellers holds securities;</w:t>
                            </w:r>
                          </w:p>
                          <w:p w14:paraId="6D9B0D69" w14:textId="77777777" w:rsidR="00465DA3" w:rsidRDefault="00465DA3" w:rsidP="00F04788">
                            <w:pPr>
                              <w:pStyle w:val="ListParagraph"/>
                              <w:numPr>
                                <w:ilvl w:val="0"/>
                                <w:numId w:val="23"/>
                              </w:numPr>
                              <w:jc w:val="both"/>
                            </w:pPr>
                            <w:proofErr w:type="spellStart"/>
                            <w:r>
                              <w:t>Austraclear</w:t>
                            </w:r>
                            <w:proofErr w:type="spellEnd"/>
                            <w:r>
                              <w:t xml:space="preserve"> confirms the buyer’s cash account balance and limit;</w:t>
                            </w:r>
                          </w:p>
                          <w:p w14:paraId="705E7113" w14:textId="77777777" w:rsidR="00465DA3" w:rsidRDefault="00465DA3" w:rsidP="00F04788">
                            <w:pPr>
                              <w:pStyle w:val="ListParagraph"/>
                              <w:numPr>
                                <w:ilvl w:val="0"/>
                                <w:numId w:val="23"/>
                              </w:numPr>
                              <w:jc w:val="both"/>
                            </w:pPr>
                            <w:r>
                              <w:t>If the balance or limit is sufficient, the transaction settles.</w:t>
                            </w:r>
                          </w:p>
                          <w:p w14:paraId="7224D086" w14:textId="77777777" w:rsidR="00465DA3" w:rsidRDefault="00465DA3" w:rsidP="006C4879">
                            <w:pPr>
                              <w:pStyle w:val="ListParagraph"/>
                              <w:jc w:val="both"/>
                            </w:pPr>
                          </w:p>
                          <w:p w14:paraId="096090CE" w14:textId="77777777" w:rsidR="00465DA3" w:rsidRDefault="00465DA3" w:rsidP="006C4879">
                            <w:pPr>
                              <w:pStyle w:val="ListParagraph"/>
                              <w:numPr>
                                <w:ilvl w:val="0"/>
                                <w:numId w:val="21"/>
                              </w:numPr>
                              <w:jc w:val="both"/>
                            </w:pPr>
                            <w:r>
                              <w:t xml:space="preserve">On Settlement of the Transaction, </w:t>
                            </w:r>
                            <w:proofErr w:type="spellStart"/>
                            <w:r>
                              <w:t>Austraclear</w:t>
                            </w:r>
                            <w:proofErr w:type="spellEnd"/>
                            <w:r>
                              <w:t xml:space="preserve"> simultaneously:</w:t>
                            </w:r>
                          </w:p>
                          <w:p w14:paraId="589FE682" w14:textId="77777777" w:rsidR="00465DA3" w:rsidRDefault="00465DA3" w:rsidP="006C4879">
                            <w:pPr>
                              <w:pStyle w:val="ListParagraph"/>
                              <w:numPr>
                                <w:ilvl w:val="0"/>
                                <w:numId w:val="24"/>
                              </w:numPr>
                              <w:jc w:val="both"/>
                            </w:pPr>
                            <w:r>
                              <w:t>Transfers the title of securities to the Buyer;</w:t>
                            </w:r>
                          </w:p>
                          <w:p w14:paraId="095AE17F" w14:textId="77777777" w:rsidR="00465DA3" w:rsidRDefault="00465DA3" w:rsidP="006C4879">
                            <w:pPr>
                              <w:pStyle w:val="ListParagraph"/>
                              <w:numPr>
                                <w:ilvl w:val="0"/>
                                <w:numId w:val="24"/>
                              </w:numPr>
                              <w:jc w:val="both"/>
                            </w:pPr>
                            <w:r>
                              <w:t>Transfers the cash amount to the Seller.</w:t>
                            </w:r>
                          </w:p>
                          <w:p w14:paraId="7E89778F" w14:textId="77777777" w:rsidR="00465DA3" w:rsidRDefault="00465DA3" w:rsidP="006C4879">
                            <w:pPr>
                              <w:pStyle w:val="ListParagraph"/>
                              <w:jc w:val="both"/>
                            </w:pPr>
                          </w:p>
                          <w:p w14:paraId="7ABCB284" w14:textId="77777777" w:rsidR="00465DA3" w:rsidRDefault="00465DA3" w:rsidP="006C4879">
                            <w:pPr>
                              <w:jc w:val="both"/>
                              <w:rPr>
                                <w:b/>
                                <w:i/>
                              </w:rPr>
                            </w:pPr>
                            <w:proofErr w:type="spellStart"/>
                            <w:r w:rsidRPr="006C4879">
                              <w:rPr>
                                <w:b/>
                                <w:i/>
                              </w:rPr>
                              <w:t>Austraclear</w:t>
                            </w:r>
                            <w:proofErr w:type="spellEnd"/>
                            <w:r w:rsidRPr="006C4879">
                              <w:rPr>
                                <w:b/>
                                <w:i/>
                              </w:rPr>
                              <w:t xml:space="preserve"> Reporting:</w:t>
                            </w:r>
                          </w:p>
                          <w:p w14:paraId="34195EAD" w14:textId="77777777" w:rsidR="00465DA3" w:rsidRDefault="00465DA3" w:rsidP="004307F2">
                            <w:pPr>
                              <w:jc w:val="both"/>
                            </w:pPr>
                          </w:p>
                          <w:p w14:paraId="4C51DBE7" w14:textId="77777777" w:rsidR="00465DA3" w:rsidRDefault="00465DA3" w:rsidP="006C4879">
                            <w:pPr>
                              <w:pStyle w:val="ListParagraph"/>
                              <w:numPr>
                                <w:ilvl w:val="0"/>
                                <w:numId w:val="26"/>
                              </w:numPr>
                              <w:jc w:val="both"/>
                            </w:pPr>
                            <w:r>
                              <w:t>Cash trade reconciliation reports;</w:t>
                            </w:r>
                          </w:p>
                          <w:p w14:paraId="7B6E0A93" w14:textId="77777777" w:rsidR="00465DA3" w:rsidRDefault="00465DA3" w:rsidP="006C4879">
                            <w:pPr>
                              <w:pStyle w:val="ListParagraph"/>
                              <w:numPr>
                                <w:ilvl w:val="0"/>
                                <w:numId w:val="26"/>
                              </w:numPr>
                              <w:jc w:val="both"/>
                            </w:pPr>
                            <w:r>
                              <w:t>Security open trade reconciliation reports;</w:t>
                            </w:r>
                          </w:p>
                          <w:p w14:paraId="4798AB8D" w14:textId="77777777" w:rsidR="00465DA3" w:rsidRDefault="00465DA3" w:rsidP="006C4879">
                            <w:pPr>
                              <w:pStyle w:val="ListParagraph"/>
                              <w:numPr>
                                <w:ilvl w:val="0"/>
                                <w:numId w:val="26"/>
                              </w:numPr>
                              <w:jc w:val="both"/>
                            </w:pPr>
                            <w:r>
                              <w:t>Security details report;</w:t>
                            </w:r>
                          </w:p>
                          <w:p w14:paraId="46FA2DB1" w14:textId="77777777" w:rsidR="00465DA3" w:rsidRDefault="00465DA3" w:rsidP="006C4879">
                            <w:pPr>
                              <w:pStyle w:val="ListParagraph"/>
                              <w:numPr>
                                <w:ilvl w:val="0"/>
                                <w:numId w:val="26"/>
                              </w:numPr>
                              <w:jc w:val="both"/>
                            </w:pPr>
                            <w:r>
                              <w:t>Security turnover reports;</w:t>
                            </w:r>
                          </w:p>
                          <w:p w14:paraId="06B7C79B" w14:textId="77777777" w:rsidR="00465DA3" w:rsidRDefault="00465DA3" w:rsidP="006C4879">
                            <w:pPr>
                              <w:pStyle w:val="ListParagraph"/>
                              <w:numPr>
                                <w:ilvl w:val="0"/>
                                <w:numId w:val="26"/>
                              </w:numPr>
                              <w:jc w:val="both"/>
                            </w:pPr>
                            <w:r>
                              <w:t>Securities holding reports;</w:t>
                            </w:r>
                          </w:p>
                          <w:p w14:paraId="537132CA" w14:textId="77777777" w:rsidR="00465DA3" w:rsidRDefault="00465DA3" w:rsidP="006C4879">
                            <w:pPr>
                              <w:pStyle w:val="ListParagraph"/>
                              <w:numPr>
                                <w:ilvl w:val="0"/>
                                <w:numId w:val="26"/>
                              </w:numPr>
                              <w:jc w:val="both"/>
                            </w:pPr>
                            <w:r>
                              <w:t>Maturing securities reports;</w:t>
                            </w:r>
                          </w:p>
                          <w:p w14:paraId="38B6530A" w14:textId="77777777" w:rsidR="00465DA3" w:rsidRDefault="00465DA3" w:rsidP="006C4879">
                            <w:pPr>
                              <w:pStyle w:val="ListParagraph"/>
                              <w:numPr>
                                <w:ilvl w:val="0"/>
                                <w:numId w:val="26"/>
                              </w:numPr>
                              <w:jc w:val="both"/>
                            </w:pPr>
                            <w:r>
                              <w:t>Securities issuers / issuers representative reports;</w:t>
                            </w:r>
                          </w:p>
                          <w:p w14:paraId="459C7070" w14:textId="77777777" w:rsidR="00465DA3" w:rsidRPr="006C4879" w:rsidRDefault="00465DA3" w:rsidP="006C4879">
                            <w:pPr>
                              <w:pStyle w:val="ListParagraph"/>
                              <w:numPr>
                                <w:ilvl w:val="0"/>
                                <w:numId w:val="26"/>
                              </w:numPr>
                              <w:jc w:val="both"/>
                            </w:pPr>
                            <w:r>
                              <w:t>Repo activity, turnover, and owners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0;margin-top:27pt;width:6in;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" filled="f" strokecolor="black [3213]">
                <v:textbox>
                  <w:txbxContent>
                    <w:p w14:paraId="64FFDB89" w14:textId="77777777" w:rsidR="00465DA3" w:rsidRPr="006C4879" w:rsidRDefault="00465DA3">
                      <w:pPr>
                        <w:rPr>
                          <w:b/>
                          <w:i/>
                        </w:rPr>
                      </w:pPr>
                      <w:proofErr w:type="spellStart"/>
                      <w:r w:rsidRPr="006C4879">
                        <w:rPr>
                          <w:b/>
                          <w:i/>
                        </w:rPr>
                        <w:t>Austraclear</w:t>
                      </w:r>
                      <w:proofErr w:type="spellEnd"/>
                      <w:r w:rsidRPr="006C4879">
                        <w:rPr>
                          <w:b/>
                          <w:i/>
                        </w:rPr>
                        <w:t xml:space="preserve"> Transaction Process:</w:t>
                      </w:r>
                    </w:p>
                    <w:p w14:paraId="4695FE78" w14:textId="77777777" w:rsidR="00465DA3" w:rsidRDefault="00465DA3"/>
                    <w:p w14:paraId="03502A6C" w14:textId="77777777" w:rsidR="00465DA3" w:rsidRDefault="00465DA3" w:rsidP="00F04788">
                      <w:pPr>
                        <w:pStyle w:val="ListParagraph"/>
                        <w:numPr>
                          <w:ilvl w:val="0"/>
                          <w:numId w:val="21"/>
                        </w:numPr>
                        <w:jc w:val="both"/>
                      </w:pPr>
                      <w:r>
                        <w:t>Transaction input on Trade Date:</w:t>
                      </w:r>
                    </w:p>
                    <w:p w14:paraId="35782922" w14:textId="77777777" w:rsidR="00465DA3" w:rsidRDefault="00465DA3" w:rsidP="00F04788">
                      <w:pPr>
                        <w:pStyle w:val="ListParagraph"/>
                        <w:numPr>
                          <w:ilvl w:val="0"/>
                          <w:numId w:val="22"/>
                        </w:numPr>
                        <w:jc w:val="both"/>
                      </w:pPr>
                      <w:r>
                        <w:t xml:space="preserve">Trade instructions are input by both </w:t>
                      </w:r>
                      <w:proofErr w:type="spellStart"/>
                      <w:r>
                        <w:t>Austraclear</w:t>
                      </w:r>
                      <w:proofErr w:type="spellEnd"/>
                      <w:r>
                        <w:t xml:space="preserve"> Participants (dual entry);</w:t>
                      </w:r>
                    </w:p>
                    <w:p w14:paraId="5DCEC429" w14:textId="77777777" w:rsidR="00465DA3" w:rsidRDefault="00465DA3" w:rsidP="00F04788">
                      <w:pPr>
                        <w:pStyle w:val="ListParagraph"/>
                        <w:numPr>
                          <w:ilvl w:val="0"/>
                          <w:numId w:val="22"/>
                        </w:numPr>
                        <w:jc w:val="both"/>
                      </w:pPr>
                      <w:r>
                        <w:t xml:space="preserve">Trade instructions are approved subject to </w:t>
                      </w:r>
                      <w:proofErr w:type="spellStart"/>
                      <w:r>
                        <w:t>Austraclear</w:t>
                      </w:r>
                      <w:proofErr w:type="spellEnd"/>
                      <w:r>
                        <w:t xml:space="preserve"> Participant’s policy;</w:t>
                      </w:r>
                    </w:p>
                    <w:p w14:paraId="60483C53" w14:textId="77777777" w:rsidR="00465DA3" w:rsidRDefault="00465DA3" w:rsidP="00F04788">
                      <w:pPr>
                        <w:pStyle w:val="ListParagraph"/>
                        <w:numPr>
                          <w:ilvl w:val="0"/>
                          <w:numId w:val="22"/>
                        </w:numPr>
                        <w:jc w:val="both"/>
                      </w:pPr>
                      <w:proofErr w:type="spellStart"/>
                      <w:r>
                        <w:t>Austraclear</w:t>
                      </w:r>
                      <w:proofErr w:type="spellEnd"/>
                      <w:r>
                        <w:t xml:space="preserve"> matches the transaction.</w:t>
                      </w:r>
                    </w:p>
                    <w:p w14:paraId="4E3F176A" w14:textId="77777777" w:rsidR="00465DA3" w:rsidRDefault="00465DA3" w:rsidP="00F04788">
                      <w:pPr>
                        <w:pStyle w:val="ListParagraph"/>
                        <w:jc w:val="both"/>
                      </w:pPr>
                    </w:p>
                    <w:p w14:paraId="6572207C" w14:textId="77777777" w:rsidR="00465DA3" w:rsidRDefault="00465DA3" w:rsidP="00F04788">
                      <w:pPr>
                        <w:pStyle w:val="ListParagraph"/>
                        <w:numPr>
                          <w:ilvl w:val="0"/>
                          <w:numId w:val="21"/>
                        </w:numPr>
                        <w:jc w:val="both"/>
                      </w:pPr>
                      <w:r>
                        <w:t>Settlement on Settlement Date:</w:t>
                      </w:r>
                    </w:p>
                    <w:p w14:paraId="66553339" w14:textId="77777777" w:rsidR="00465DA3" w:rsidRDefault="00465DA3" w:rsidP="00F04788">
                      <w:pPr>
                        <w:pStyle w:val="ListParagraph"/>
                        <w:numPr>
                          <w:ilvl w:val="0"/>
                          <w:numId w:val="23"/>
                        </w:numPr>
                        <w:jc w:val="both"/>
                      </w:pPr>
                      <w:proofErr w:type="spellStart"/>
                      <w:r>
                        <w:t>Austraclear</w:t>
                      </w:r>
                      <w:proofErr w:type="spellEnd"/>
                      <w:r>
                        <w:t xml:space="preserve"> confirms the sellers holds securities;</w:t>
                      </w:r>
                    </w:p>
                    <w:p w14:paraId="6D9B0D69" w14:textId="77777777" w:rsidR="00465DA3" w:rsidRDefault="00465DA3" w:rsidP="00F04788">
                      <w:pPr>
                        <w:pStyle w:val="ListParagraph"/>
                        <w:numPr>
                          <w:ilvl w:val="0"/>
                          <w:numId w:val="23"/>
                        </w:numPr>
                        <w:jc w:val="both"/>
                      </w:pPr>
                      <w:proofErr w:type="spellStart"/>
                      <w:r>
                        <w:t>Austraclear</w:t>
                      </w:r>
                      <w:proofErr w:type="spellEnd"/>
                      <w:r>
                        <w:t xml:space="preserve"> confirms the buyer’s cash account balance and limit;</w:t>
                      </w:r>
                    </w:p>
                    <w:p w14:paraId="705E7113" w14:textId="77777777" w:rsidR="00465DA3" w:rsidRDefault="00465DA3" w:rsidP="00F04788">
                      <w:pPr>
                        <w:pStyle w:val="ListParagraph"/>
                        <w:numPr>
                          <w:ilvl w:val="0"/>
                          <w:numId w:val="23"/>
                        </w:numPr>
                        <w:jc w:val="both"/>
                      </w:pPr>
                      <w:r>
                        <w:t>If the balance or limit is sufficient, the transaction settles.</w:t>
                      </w:r>
                    </w:p>
                    <w:p w14:paraId="7224D086" w14:textId="77777777" w:rsidR="00465DA3" w:rsidRDefault="00465DA3" w:rsidP="006C4879">
                      <w:pPr>
                        <w:pStyle w:val="ListParagraph"/>
                        <w:jc w:val="both"/>
                      </w:pPr>
                    </w:p>
                    <w:p w14:paraId="096090CE" w14:textId="77777777" w:rsidR="00465DA3" w:rsidRDefault="00465DA3" w:rsidP="006C4879">
                      <w:pPr>
                        <w:pStyle w:val="ListParagraph"/>
                        <w:numPr>
                          <w:ilvl w:val="0"/>
                          <w:numId w:val="21"/>
                        </w:numPr>
                        <w:jc w:val="both"/>
                      </w:pPr>
                      <w:r>
                        <w:t xml:space="preserve">On Settlement of the Transaction, </w:t>
                      </w:r>
                      <w:proofErr w:type="spellStart"/>
                      <w:r>
                        <w:t>Austraclear</w:t>
                      </w:r>
                      <w:proofErr w:type="spellEnd"/>
                      <w:r>
                        <w:t xml:space="preserve"> simultaneously:</w:t>
                      </w:r>
                    </w:p>
                    <w:p w14:paraId="589FE682" w14:textId="77777777" w:rsidR="00465DA3" w:rsidRDefault="00465DA3" w:rsidP="006C4879">
                      <w:pPr>
                        <w:pStyle w:val="ListParagraph"/>
                        <w:numPr>
                          <w:ilvl w:val="0"/>
                          <w:numId w:val="24"/>
                        </w:numPr>
                        <w:jc w:val="both"/>
                      </w:pPr>
                      <w:r>
                        <w:t>Transfers the title of securities to the Buyer;</w:t>
                      </w:r>
                    </w:p>
                    <w:p w14:paraId="095AE17F" w14:textId="77777777" w:rsidR="00465DA3" w:rsidRDefault="00465DA3" w:rsidP="006C4879">
                      <w:pPr>
                        <w:pStyle w:val="ListParagraph"/>
                        <w:numPr>
                          <w:ilvl w:val="0"/>
                          <w:numId w:val="24"/>
                        </w:numPr>
                        <w:jc w:val="both"/>
                      </w:pPr>
                      <w:r>
                        <w:t>Transfers the cash amount to the Seller.</w:t>
                      </w:r>
                    </w:p>
                    <w:p w14:paraId="7E89778F" w14:textId="77777777" w:rsidR="00465DA3" w:rsidRDefault="00465DA3" w:rsidP="006C4879">
                      <w:pPr>
                        <w:pStyle w:val="ListParagraph"/>
                        <w:jc w:val="both"/>
                      </w:pPr>
                    </w:p>
                    <w:p w14:paraId="7ABCB284" w14:textId="77777777" w:rsidR="00465DA3" w:rsidRDefault="00465DA3" w:rsidP="006C4879">
                      <w:pPr>
                        <w:jc w:val="both"/>
                        <w:rPr>
                          <w:b/>
                          <w:i/>
                        </w:rPr>
                      </w:pPr>
                      <w:proofErr w:type="spellStart"/>
                      <w:r w:rsidRPr="006C4879">
                        <w:rPr>
                          <w:b/>
                          <w:i/>
                        </w:rPr>
                        <w:t>Austraclear</w:t>
                      </w:r>
                      <w:proofErr w:type="spellEnd"/>
                      <w:r w:rsidRPr="006C4879">
                        <w:rPr>
                          <w:b/>
                          <w:i/>
                        </w:rPr>
                        <w:t xml:space="preserve"> Reporting:</w:t>
                      </w:r>
                    </w:p>
                    <w:p w14:paraId="34195EAD" w14:textId="77777777" w:rsidR="00465DA3" w:rsidRDefault="00465DA3" w:rsidP="004307F2">
                      <w:pPr>
                        <w:jc w:val="both"/>
                      </w:pPr>
                    </w:p>
                    <w:p w14:paraId="4C51DBE7" w14:textId="77777777" w:rsidR="00465DA3" w:rsidRDefault="00465DA3" w:rsidP="006C4879">
                      <w:pPr>
                        <w:pStyle w:val="ListParagraph"/>
                        <w:numPr>
                          <w:ilvl w:val="0"/>
                          <w:numId w:val="26"/>
                        </w:numPr>
                        <w:jc w:val="both"/>
                      </w:pPr>
                      <w:r>
                        <w:t>Cash trade reconciliation reports;</w:t>
                      </w:r>
                    </w:p>
                    <w:p w14:paraId="7B6E0A93" w14:textId="77777777" w:rsidR="00465DA3" w:rsidRDefault="00465DA3" w:rsidP="006C4879">
                      <w:pPr>
                        <w:pStyle w:val="ListParagraph"/>
                        <w:numPr>
                          <w:ilvl w:val="0"/>
                          <w:numId w:val="26"/>
                        </w:numPr>
                        <w:jc w:val="both"/>
                      </w:pPr>
                      <w:r>
                        <w:t>Security open trade reconciliation reports;</w:t>
                      </w:r>
                    </w:p>
                    <w:p w14:paraId="4798AB8D" w14:textId="77777777" w:rsidR="00465DA3" w:rsidRDefault="00465DA3" w:rsidP="006C4879">
                      <w:pPr>
                        <w:pStyle w:val="ListParagraph"/>
                        <w:numPr>
                          <w:ilvl w:val="0"/>
                          <w:numId w:val="26"/>
                        </w:numPr>
                        <w:jc w:val="both"/>
                      </w:pPr>
                      <w:r>
                        <w:t>Security details report;</w:t>
                      </w:r>
                    </w:p>
                    <w:p w14:paraId="46FA2DB1" w14:textId="77777777" w:rsidR="00465DA3" w:rsidRDefault="00465DA3" w:rsidP="006C4879">
                      <w:pPr>
                        <w:pStyle w:val="ListParagraph"/>
                        <w:numPr>
                          <w:ilvl w:val="0"/>
                          <w:numId w:val="26"/>
                        </w:numPr>
                        <w:jc w:val="both"/>
                      </w:pPr>
                      <w:r>
                        <w:t>Security turnover reports;</w:t>
                      </w:r>
                    </w:p>
                    <w:p w14:paraId="06B7C79B" w14:textId="77777777" w:rsidR="00465DA3" w:rsidRDefault="00465DA3" w:rsidP="006C4879">
                      <w:pPr>
                        <w:pStyle w:val="ListParagraph"/>
                        <w:numPr>
                          <w:ilvl w:val="0"/>
                          <w:numId w:val="26"/>
                        </w:numPr>
                        <w:jc w:val="both"/>
                      </w:pPr>
                      <w:r>
                        <w:t>Securities holding reports;</w:t>
                      </w:r>
                    </w:p>
                    <w:p w14:paraId="537132CA" w14:textId="77777777" w:rsidR="00465DA3" w:rsidRDefault="00465DA3" w:rsidP="006C4879">
                      <w:pPr>
                        <w:pStyle w:val="ListParagraph"/>
                        <w:numPr>
                          <w:ilvl w:val="0"/>
                          <w:numId w:val="26"/>
                        </w:numPr>
                        <w:jc w:val="both"/>
                      </w:pPr>
                      <w:r>
                        <w:t>Maturing securities reports;</w:t>
                      </w:r>
                    </w:p>
                    <w:p w14:paraId="38B6530A" w14:textId="77777777" w:rsidR="00465DA3" w:rsidRDefault="00465DA3" w:rsidP="006C4879">
                      <w:pPr>
                        <w:pStyle w:val="ListParagraph"/>
                        <w:numPr>
                          <w:ilvl w:val="0"/>
                          <w:numId w:val="26"/>
                        </w:numPr>
                        <w:jc w:val="both"/>
                      </w:pPr>
                      <w:r>
                        <w:t>Securities issuers / issuers representative reports;</w:t>
                      </w:r>
                    </w:p>
                    <w:p w14:paraId="459C7070" w14:textId="77777777" w:rsidR="00465DA3" w:rsidRPr="006C4879" w:rsidRDefault="00465DA3" w:rsidP="006C4879">
                      <w:pPr>
                        <w:pStyle w:val="ListParagraph"/>
                        <w:numPr>
                          <w:ilvl w:val="0"/>
                          <w:numId w:val="26"/>
                        </w:numPr>
                        <w:jc w:val="both"/>
                      </w:pPr>
                      <w:r>
                        <w:t>Repo activity, turnover, and owners summary.</w:t>
                      </w:r>
                    </w:p>
                  </w:txbxContent>
                </v:textbox>
                <w10:wrap type="square"/>
              </v:shape>
            </w:pict>
          </mc:Fallback>
        </mc:AlternateContent>
      </w:r>
      <w:r w:rsidR="006C4879" w:rsidRPr="006C4879">
        <w:rPr>
          <w:rFonts w:cs="Times New Roman"/>
          <w:b/>
          <w:u w:val="single"/>
        </w:rPr>
        <w:t>Box</w:t>
      </w:r>
      <w:r w:rsidR="001A4928">
        <w:rPr>
          <w:rFonts w:cs="Times New Roman"/>
          <w:b/>
          <w:u w:val="single"/>
        </w:rPr>
        <w:t xml:space="preserve"> 1</w:t>
      </w:r>
      <w:r w:rsidR="006C4879" w:rsidRPr="006C4879">
        <w:rPr>
          <w:rFonts w:cs="Times New Roman"/>
          <w:b/>
          <w:u w:val="single"/>
        </w:rPr>
        <w:t>:</w:t>
      </w:r>
      <w:r w:rsidR="006C4879" w:rsidRPr="006C4879">
        <w:rPr>
          <w:rFonts w:cs="Times New Roman"/>
          <w:u w:val="single"/>
        </w:rPr>
        <w:t xml:space="preserve"> </w:t>
      </w:r>
      <w:proofErr w:type="spellStart"/>
      <w:r w:rsidR="006C4879" w:rsidRPr="006C4879">
        <w:rPr>
          <w:b/>
          <w:u w:val="single"/>
        </w:rPr>
        <w:t>Austracle</w:t>
      </w:r>
      <w:r w:rsidR="006C4879">
        <w:rPr>
          <w:b/>
          <w:u w:val="single"/>
        </w:rPr>
        <w:t>ar</w:t>
      </w:r>
      <w:proofErr w:type="spellEnd"/>
      <w:r w:rsidR="006C4879">
        <w:rPr>
          <w:b/>
          <w:u w:val="single"/>
        </w:rPr>
        <w:t xml:space="preserve"> Features</w:t>
      </w:r>
    </w:p>
    <w:p w14:paraId="1800E6F7" w14:textId="0B7E6747" w:rsidR="005A77DD" w:rsidRPr="003F7E85" w:rsidRDefault="003F7E85" w:rsidP="00007300">
      <w:pPr>
        <w:widowControl w:val="0"/>
        <w:spacing w:after="240"/>
        <w:jc w:val="both"/>
        <w:rPr>
          <w:rFonts w:cs="Times New Roman"/>
          <w:i/>
          <w:sz w:val="20"/>
          <w:szCs w:val="20"/>
        </w:rPr>
      </w:pPr>
      <w:r w:rsidRPr="003F7E85">
        <w:rPr>
          <w:rFonts w:cs="Times New Roman"/>
          <w:i/>
          <w:sz w:val="20"/>
          <w:szCs w:val="20"/>
        </w:rPr>
        <w:t xml:space="preserve">Source: </w:t>
      </w:r>
      <w:proofErr w:type="spellStart"/>
      <w:r w:rsidRPr="003F7E85">
        <w:rPr>
          <w:rFonts w:cs="Times New Roman"/>
          <w:i/>
          <w:sz w:val="20"/>
          <w:szCs w:val="20"/>
        </w:rPr>
        <w:t>Austraclear</w:t>
      </w:r>
      <w:proofErr w:type="spellEnd"/>
      <w:r>
        <w:rPr>
          <w:rFonts w:cs="Times New Roman"/>
          <w:i/>
          <w:sz w:val="20"/>
          <w:szCs w:val="20"/>
        </w:rPr>
        <w:t xml:space="preserve"> presentation to BPNG July 2014</w:t>
      </w:r>
    </w:p>
    <w:p w14:paraId="1FBC1A2E" w14:textId="77777777" w:rsidR="003021B0" w:rsidRPr="003021B0" w:rsidRDefault="003021B0" w:rsidP="003021B0">
      <w:pPr>
        <w:pStyle w:val="ListParagraph"/>
        <w:widowControl w:val="0"/>
        <w:numPr>
          <w:ilvl w:val="0"/>
          <w:numId w:val="5"/>
        </w:numPr>
        <w:spacing w:after="240"/>
        <w:ind w:left="0" w:firstLine="0"/>
        <w:contextualSpacing w:val="0"/>
        <w:jc w:val="both"/>
      </w:pPr>
      <w:proofErr w:type="spellStart"/>
      <w:r w:rsidRPr="003021B0">
        <w:t>Austraclear</w:t>
      </w:r>
      <w:proofErr w:type="spellEnd"/>
      <w:r w:rsidRPr="003021B0">
        <w:t xml:space="preserve"> </w:t>
      </w:r>
      <w:r>
        <w:t>provided an i</w:t>
      </w:r>
      <w:r w:rsidRPr="003021B0">
        <w:t>mplementation</w:t>
      </w:r>
      <w:r>
        <w:t xml:space="preserve"> effort cost and timeline proposal</w:t>
      </w:r>
      <w:r>
        <w:rPr>
          <w:rStyle w:val="FootnoteReference"/>
        </w:rPr>
        <w:footnoteReference w:id="26"/>
      </w:r>
      <w:r w:rsidRPr="003021B0">
        <w:t>:</w:t>
      </w:r>
    </w:p>
    <w:p w14:paraId="0E45252A" w14:textId="77777777" w:rsidR="003021B0" w:rsidRDefault="003021B0" w:rsidP="003021B0">
      <w:pPr>
        <w:pStyle w:val="ListParagraph"/>
        <w:numPr>
          <w:ilvl w:val="0"/>
          <w:numId w:val="27"/>
        </w:numPr>
        <w:jc w:val="both"/>
      </w:pPr>
      <w:r>
        <w:t xml:space="preserve">Estimated time to for </w:t>
      </w:r>
      <w:proofErr w:type="spellStart"/>
      <w:r>
        <w:t>Austraclear</w:t>
      </w:r>
      <w:proofErr w:type="spellEnd"/>
      <w:r>
        <w:t xml:space="preserve"> to have PGK securities to be a four-month development and testing effort;</w:t>
      </w:r>
    </w:p>
    <w:p w14:paraId="0DAF768E" w14:textId="77777777" w:rsidR="003021B0" w:rsidRDefault="003021B0" w:rsidP="003021B0">
      <w:pPr>
        <w:pStyle w:val="ListParagraph"/>
        <w:numPr>
          <w:ilvl w:val="0"/>
          <w:numId w:val="27"/>
        </w:numPr>
        <w:jc w:val="both"/>
      </w:pPr>
      <w:r>
        <w:t>The estimated cost for development and testing to be approximately A$350k;</w:t>
      </w:r>
    </w:p>
    <w:p w14:paraId="1F63E534" w14:textId="77777777" w:rsidR="003021B0" w:rsidRDefault="003021B0" w:rsidP="003021B0">
      <w:pPr>
        <w:pStyle w:val="ListParagraph"/>
        <w:numPr>
          <w:ilvl w:val="0"/>
          <w:numId w:val="27"/>
        </w:numPr>
        <w:jc w:val="both"/>
      </w:pPr>
      <w:r>
        <w:t>All estimates are subject to further refinement as requirements are established and agreed with relevant stakeholders;</w:t>
      </w:r>
    </w:p>
    <w:p w14:paraId="565CB788" w14:textId="77777777" w:rsidR="003021B0" w:rsidRDefault="003021B0" w:rsidP="003021B0">
      <w:pPr>
        <w:pStyle w:val="ListParagraph"/>
        <w:numPr>
          <w:ilvl w:val="0"/>
          <w:numId w:val="27"/>
        </w:numPr>
        <w:jc w:val="both"/>
      </w:pPr>
      <w:r>
        <w:t>Actual go-live is dependent on requirements relating to customer testing;</w:t>
      </w:r>
    </w:p>
    <w:p w14:paraId="48F63E8A" w14:textId="76E7D9A4" w:rsidR="00DE49D8" w:rsidRDefault="003021B0" w:rsidP="00056D87">
      <w:pPr>
        <w:pStyle w:val="ListParagraph"/>
        <w:numPr>
          <w:ilvl w:val="0"/>
          <w:numId w:val="27"/>
        </w:numPr>
        <w:jc w:val="both"/>
      </w:pPr>
      <w:r>
        <w:t>Subject to regulatory approval from the Reserve Bank of Australia.</w:t>
      </w:r>
    </w:p>
    <w:p w14:paraId="4F9CDB08" w14:textId="77777777" w:rsidR="00CD750D" w:rsidRDefault="00CD750D" w:rsidP="00CD750D">
      <w:pPr>
        <w:pStyle w:val="ListParagraph"/>
        <w:jc w:val="both"/>
      </w:pPr>
    </w:p>
    <w:p w14:paraId="4F8B9DC5" w14:textId="77777777" w:rsidR="00CD750D" w:rsidRDefault="00CD750D" w:rsidP="00CD750D">
      <w:pPr>
        <w:pStyle w:val="ListParagraph"/>
        <w:jc w:val="both"/>
      </w:pPr>
    </w:p>
    <w:p w14:paraId="29C9FFAA" w14:textId="77777777" w:rsidR="00982C75" w:rsidRPr="00BF2BFB" w:rsidRDefault="003021B0" w:rsidP="003021B0">
      <w:pPr>
        <w:jc w:val="both"/>
        <w:rPr>
          <w:i/>
          <w:u w:val="single"/>
        </w:rPr>
      </w:pPr>
      <w:r w:rsidRPr="00BF2BFB">
        <w:rPr>
          <w:i/>
          <w:u w:val="single"/>
        </w:rPr>
        <w:lastRenderedPageBreak/>
        <w:t>Recommendations-</w:t>
      </w:r>
    </w:p>
    <w:p w14:paraId="4561D3D5" w14:textId="77777777" w:rsidR="00982C75" w:rsidRPr="00316322" w:rsidRDefault="00982C75" w:rsidP="003021B0">
      <w:pPr>
        <w:jc w:val="both"/>
        <w:rPr>
          <w:i/>
        </w:rPr>
      </w:pPr>
    </w:p>
    <w:p w14:paraId="55085943" w14:textId="1EAEADA6" w:rsidR="003021B0" w:rsidRPr="00DF30CE" w:rsidRDefault="00024640" w:rsidP="003021B0">
      <w:pPr>
        <w:pStyle w:val="ListParagraph"/>
        <w:widowControl w:val="0"/>
        <w:numPr>
          <w:ilvl w:val="0"/>
          <w:numId w:val="5"/>
        </w:numPr>
        <w:spacing w:after="240"/>
        <w:ind w:left="0" w:firstLine="0"/>
        <w:contextualSpacing w:val="0"/>
        <w:jc w:val="both"/>
        <w:rPr>
          <w:b/>
        </w:rPr>
      </w:pPr>
      <w:r>
        <w:t xml:space="preserve">It is strongly </w:t>
      </w:r>
      <w:r w:rsidR="0031189F">
        <w:t>recommended</w:t>
      </w:r>
      <w:r>
        <w:t xml:space="preserve"> that an </w:t>
      </w:r>
      <w:r w:rsidR="00316322">
        <w:t xml:space="preserve">automated </w:t>
      </w:r>
      <w:r w:rsidR="00F2097A">
        <w:t xml:space="preserve">clearing and settlement and </w:t>
      </w:r>
      <w:r w:rsidR="00316322">
        <w:t>Central Securities Depositor</w:t>
      </w:r>
      <w:r w:rsidR="00F2097A">
        <w:t>y</w:t>
      </w:r>
      <w:r w:rsidR="00316322">
        <w:t xml:space="preserve"> (CSD)</w:t>
      </w:r>
      <w:r>
        <w:t xml:space="preserve"> be established</w:t>
      </w:r>
      <w:r w:rsidR="00316322">
        <w:t>. The CSD</w:t>
      </w:r>
      <w:r w:rsidR="003021B0">
        <w:t xml:space="preserve"> would serve as basic infrastructure to establish</w:t>
      </w:r>
      <w:r w:rsidR="00316322">
        <w:t xml:space="preserve"> a central bank standing facilities</w:t>
      </w:r>
      <w:r w:rsidR="003021B0">
        <w:t xml:space="preserve">. It </w:t>
      </w:r>
      <w:r w:rsidR="003021B0" w:rsidRPr="00D2375B">
        <w:t xml:space="preserve">would </w:t>
      </w:r>
      <w:r w:rsidR="003021B0">
        <w:t xml:space="preserve">also </w:t>
      </w:r>
      <w:r w:rsidR="003021B0" w:rsidRPr="00D2375B">
        <w:t xml:space="preserve">be a key infrastructure for </w:t>
      </w:r>
      <w:r w:rsidR="003021B0">
        <w:t xml:space="preserve">the development of </w:t>
      </w:r>
      <w:r w:rsidR="003021B0" w:rsidRPr="00D2375B">
        <w:t>an interbank deposit market</w:t>
      </w:r>
      <w:r w:rsidR="003021B0">
        <w:t xml:space="preserve">, and </w:t>
      </w:r>
      <w:r w:rsidR="003021B0" w:rsidRPr="00D2375B">
        <w:t>would facilitate banks’ liquidity management and portfolio diversification.</w:t>
      </w:r>
      <w:r w:rsidR="00316322">
        <w:t xml:space="preserve"> Also,</w:t>
      </w:r>
      <w:r w:rsidR="003021B0">
        <w:t xml:space="preserve"> it would represent an essential platform to handle </w:t>
      </w:r>
      <w:r w:rsidR="00DF30CE">
        <w:t xml:space="preserve">government and </w:t>
      </w:r>
      <w:r w:rsidR="003021B0">
        <w:t>central bank</w:t>
      </w:r>
      <w:r w:rsidR="00DF30CE">
        <w:t xml:space="preserve"> securities and </w:t>
      </w:r>
      <w:r w:rsidR="003021B0">
        <w:t xml:space="preserve">would be part of the effort to develop the domestic secondary market for debt. The CSD could be the central facility for the safe and efficient custody, trading and settlement of all types of (public and private sector) securities. </w:t>
      </w:r>
    </w:p>
    <w:p w14:paraId="3C5532BC" w14:textId="77777777" w:rsidR="00DF30CE" w:rsidRPr="003021B0" w:rsidRDefault="00F2097A" w:rsidP="003021B0">
      <w:pPr>
        <w:pStyle w:val="ListParagraph"/>
        <w:widowControl w:val="0"/>
        <w:numPr>
          <w:ilvl w:val="0"/>
          <w:numId w:val="5"/>
        </w:numPr>
        <w:spacing w:after="240"/>
        <w:ind w:left="0" w:firstLine="0"/>
        <w:contextualSpacing w:val="0"/>
        <w:jc w:val="both"/>
        <w:rPr>
          <w:b/>
        </w:rPr>
      </w:pPr>
      <w:r>
        <w:t>The BPNG should consider</w:t>
      </w:r>
      <w:r w:rsidR="00DF30CE">
        <w:t xml:space="preserve"> dialogue and evaluation with vendors of electronic clearing, settlement, and central custodial systems. The need for such systems to facilitate bond and capital market development and to attract non-resident investors is essential</w:t>
      </w:r>
      <w:r>
        <w:t>.</w:t>
      </w:r>
      <w:r w:rsidR="00DF30CE">
        <w:t xml:space="preserve"> Given that in house development would take considerable time, effort, and resources, it would seem useful and practical to adopt and implement established syst</w:t>
      </w:r>
      <w:r>
        <w:t xml:space="preserve">ems. In the case of </w:t>
      </w:r>
      <w:proofErr w:type="spellStart"/>
      <w:r>
        <w:t>Austraclear</w:t>
      </w:r>
      <w:proofErr w:type="spellEnd"/>
      <w:r>
        <w:t xml:space="preserve">, implementation was </w:t>
      </w:r>
      <w:r w:rsidR="00DF30CE">
        <w:t xml:space="preserve">estimated at a </w:t>
      </w:r>
      <w:r>
        <w:t>four-month</w:t>
      </w:r>
      <w:r w:rsidR="00DF30CE">
        <w:t xml:space="preserve"> timeframe.   </w:t>
      </w:r>
    </w:p>
    <w:p w14:paraId="2B883682" w14:textId="77777777" w:rsidR="003F7E85" w:rsidRPr="003F7E85" w:rsidRDefault="000B5DFA" w:rsidP="003F7E85">
      <w:pPr>
        <w:widowControl w:val="0"/>
        <w:spacing w:after="240"/>
        <w:jc w:val="center"/>
        <w:rPr>
          <w:rFonts w:cs="Times New Roman"/>
          <w:b/>
          <w:noProof/>
        </w:rPr>
      </w:pPr>
      <w:r>
        <w:rPr>
          <w:rFonts w:cs="Times New Roman"/>
          <w:b/>
          <w:noProof/>
        </w:rPr>
        <w:t>K</w:t>
      </w:r>
      <w:r w:rsidR="003F7E85" w:rsidRPr="0073438D">
        <w:rPr>
          <w:rFonts w:cs="Times New Roman"/>
          <w:b/>
          <w:noProof/>
        </w:rPr>
        <w:t>. Equity Market</w:t>
      </w:r>
    </w:p>
    <w:p w14:paraId="239FD565" w14:textId="77777777" w:rsidR="00B35865" w:rsidRPr="00B35865" w:rsidRDefault="00B35865" w:rsidP="00B35865">
      <w:pPr>
        <w:pStyle w:val="ListParagraph"/>
        <w:widowControl w:val="0"/>
        <w:numPr>
          <w:ilvl w:val="0"/>
          <w:numId w:val="5"/>
        </w:numPr>
        <w:spacing w:after="240"/>
        <w:ind w:left="0" w:firstLine="0"/>
        <w:contextualSpacing w:val="0"/>
        <w:jc w:val="both"/>
        <w:rPr>
          <w:rFonts w:cs="Times New Roman"/>
        </w:rPr>
      </w:pPr>
      <w:r w:rsidRPr="00A862A0">
        <w:rPr>
          <w:rFonts w:cs="Times New Roman"/>
        </w:rPr>
        <w:t>The Port Moresby Stock Exchange Ltd (</w:t>
      </w:r>
      <w:proofErr w:type="spellStart"/>
      <w:r w:rsidRPr="00A862A0">
        <w:rPr>
          <w:rFonts w:cs="Times New Roman"/>
        </w:rPr>
        <w:t>POMSoX</w:t>
      </w:r>
      <w:proofErr w:type="spellEnd"/>
      <w:r w:rsidRPr="00A862A0">
        <w:rPr>
          <w:rFonts w:cs="Times New Roman"/>
        </w:rPr>
        <w:t xml:space="preserve">) was established and registered as </w:t>
      </w:r>
      <w:r>
        <w:rPr>
          <w:rFonts w:cs="Times New Roman"/>
        </w:rPr>
        <w:t xml:space="preserve">an </w:t>
      </w:r>
      <w:r w:rsidRPr="00A862A0">
        <w:rPr>
          <w:rFonts w:cs="Times New Roman"/>
        </w:rPr>
        <w:t xml:space="preserve">organization under the Companies Act 1997. </w:t>
      </w:r>
      <w:proofErr w:type="spellStart"/>
      <w:r w:rsidRPr="00A862A0">
        <w:rPr>
          <w:rFonts w:cs="Times New Roman"/>
        </w:rPr>
        <w:t>POMSoX</w:t>
      </w:r>
      <w:proofErr w:type="spellEnd"/>
      <w:r w:rsidRPr="00A862A0">
        <w:rPr>
          <w:rFonts w:cs="Times New Roman"/>
        </w:rPr>
        <w:t xml:space="preserve"> was granted a license to operate a stock market under the Securities Act 1997. The PNG Securities Commission is the overall regulator of the Securities Market.</w:t>
      </w:r>
    </w:p>
    <w:p w14:paraId="45CA5810" w14:textId="7BF01B7B" w:rsidR="00174A65" w:rsidRDefault="00174A65" w:rsidP="00F04788">
      <w:pPr>
        <w:pStyle w:val="ListParagraph"/>
        <w:widowControl w:val="0"/>
        <w:numPr>
          <w:ilvl w:val="0"/>
          <w:numId w:val="5"/>
        </w:numPr>
        <w:spacing w:after="240"/>
        <w:ind w:left="0" w:firstLine="0"/>
        <w:contextualSpacing w:val="0"/>
        <w:jc w:val="both"/>
      </w:pPr>
      <w:r w:rsidRPr="00D80090">
        <w:t xml:space="preserve">The </w:t>
      </w:r>
      <w:proofErr w:type="spellStart"/>
      <w:r w:rsidRPr="00D80090">
        <w:t>POMSoX</w:t>
      </w:r>
      <w:proofErr w:type="spellEnd"/>
      <w:r w:rsidRPr="00D80090">
        <w:t xml:space="preserve"> is limited with </w:t>
      </w:r>
      <w:r w:rsidR="00024640">
        <w:t xml:space="preserve">ownership vesting with </w:t>
      </w:r>
      <w:r w:rsidRPr="00D80090">
        <w:t>only two licensed brokers, Kina Securities and BSP Capital</w:t>
      </w:r>
      <w:r w:rsidR="00024640">
        <w:t>. This does not</w:t>
      </w:r>
      <w:r w:rsidRPr="00D80090">
        <w:t xml:space="preserve"> necessarily offer a competitive or dynamic trading environment for government securities </w:t>
      </w:r>
      <w:r w:rsidR="00B35865">
        <w:t xml:space="preserve">or equities </w:t>
      </w:r>
      <w:r w:rsidRPr="00D80090">
        <w:t xml:space="preserve">on the exchange. There has been no interest from other entities to be authorized brokers specifically commercial banks where they are the </w:t>
      </w:r>
      <w:r w:rsidR="00B35865" w:rsidRPr="00D80090">
        <w:t>dominant</w:t>
      </w:r>
      <w:r w:rsidRPr="00D80090">
        <w:t xml:space="preserve"> players in the PNG government debt market.</w:t>
      </w:r>
    </w:p>
    <w:p w14:paraId="7EA12584" w14:textId="4E0F2208" w:rsidR="00B35865" w:rsidRPr="00B35865" w:rsidRDefault="00B35865" w:rsidP="00B35865">
      <w:pPr>
        <w:pStyle w:val="ListParagraph"/>
        <w:widowControl w:val="0"/>
        <w:numPr>
          <w:ilvl w:val="0"/>
          <w:numId w:val="5"/>
        </w:numPr>
        <w:spacing w:after="240"/>
        <w:ind w:left="0" w:firstLine="0"/>
        <w:contextualSpacing w:val="0"/>
        <w:jc w:val="both"/>
      </w:pPr>
      <w:r w:rsidRPr="00A862A0">
        <w:rPr>
          <w:rFonts w:cs="Times New Roman"/>
        </w:rPr>
        <w:t xml:space="preserve">Currently, 18 stocks are listed on the </w:t>
      </w:r>
      <w:proofErr w:type="spellStart"/>
      <w:r w:rsidRPr="00A862A0">
        <w:rPr>
          <w:rFonts w:cs="Times New Roman"/>
        </w:rPr>
        <w:t>POMSoX</w:t>
      </w:r>
      <w:proofErr w:type="spellEnd"/>
      <w:r w:rsidRPr="00A862A0">
        <w:rPr>
          <w:rFonts w:cs="Times New Roman"/>
        </w:rPr>
        <w:t xml:space="preserve"> of which 11 stocks are from the natural resource sectors and one corporate debt instrument. Liquidity and turnover is the biggest challenge, </w:t>
      </w:r>
      <w:proofErr w:type="spellStart"/>
      <w:r w:rsidRPr="00A862A0">
        <w:rPr>
          <w:rFonts w:cs="Times New Roman"/>
        </w:rPr>
        <w:t>POMSoX</w:t>
      </w:r>
      <w:proofErr w:type="spellEnd"/>
      <w:r w:rsidRPr="00A862A0">
        <w:rPr>
          <w:rFonts w:cs="Times New Roman"/>
        </w:rPr>
        <w:t xml:space="preserve"> has an automated Trading System called the Port Moresby Stock Exchange Electronic Trading System (PETS). </w:t>
      </w:r>
      <w:proofErr w:type="gramStart"/>
      <w:r w:rsidRPr="00A862A0">
        <w:rPr>
          <w:rFonts w:cs="Times New Roman"/>
        </w:rPr>
        <w:t>PETS is</w:t>
      </w:r>
      <w:proofErr w:type="gramEnd"/>
      <w:r w:rsidRPr="00A862A0">
        <w:rPr>
          <w:rFonts w:cs="Times New Roman"/>
        </w:rPr>
        <w:t xml:space="preserve"> an order driven system with relatively few narrow bid-to-offer quotes. Investors must go through </w:t>
      </w:r>
      <w:r w:rsidR="00024640">
        <w:rPr>
          <w:rFonts w:cs="Times New Roman"/>
        </w:rPr>
        <w:t xml:space="preserve">one of </w:t>
      </w:r>
      <w:r w:rsidRPr="00A862A0">
        <w:rPr>
          <w:rFonts w:cs="Times New Roman"/>
        </w:rPr>
        <w:t xml:space="preserve">the </w:t>
      </w:r>
      <w:r w:rsidR="00024640">
        <w:rPr>
          <w:rFonts w:cs="Times New Roman"/>
        </w:rPr>
        <w:t>two</w:t>
      </w:r>
      <w:r w:rsidRPr="00A862A0">
        <w:rPr>
          <w:rFonts w:cs="Times New Roman"/>
        </w:rPr>
        <w:t xml:space="preserve"> licensed brokers for securities transactions, settlement is T+3</w:t>
      </w:r>
      <w:r>
        <w:rPr>
          <w:rFonts w:cs="Times New Roman"/>
        </w:rPr>
        <w:t>,</w:t>
      </w:r>
      <w:r w:rsidRPr="00A862A0">
        <w:rPr>
          <w:rFonts w:cs="Times New Roman"/>
        </w:rPr>
        <w:t xml:space="preserve"> and clears and settles </w:t>
      </w:r>
      <w:r w:rsidR="00024640">
        <w:rPr>
          <w:rFonts w:cs="Times New Roman"/>
        </w:rPr>
        <w:t xml:space="preserve">are done </w:t>
      </w:r>
      <w:r w:rsidRPr="00A862A0">
        <w:rPr>
          <w:rFonts w:cs="Times New Roman"/>
        </w:rPr>
        <w:t xml:space="preserve">manually. </w:t>
      </w:r>
    </w:p>
    <w:p w14:paraId="072932A4" w14:textId="77777777" w:rsidR="00B35865" w:rsidRPr="00D80090" w:rsidRDefault="00B35865" w:rsidP="00B35865">
      <w:pPr>
        <w:pStyle w:val="ListParagraph"/>
        <w:widowControl w:val="0"/>
        <w:numPr>
          <w:ilvl w:val="0"/>
          <w:numId w:val="5"/>
        </w:numPr>
        <w:spacing w:after="240"/>
        <w:ind w:left="0" w:firstLine="0"/>
        <w:contextualSpacing w:val="0"/>
        <w:jc w:val="both"/>
      </w:pPr>
      <w:r>
        <w:rPr>
          <w:rFonts w:cs="Times New Roman"/>
        </w:rPr>
        <w:t>It</w:t>
      </w:r>
      <w:r w:rsidRPr="00A862A0">
        <w:rPr>
          <w:rFonts w:cs="Times New Roman"/>
        </w:rPr>
        <w:t xml:space="preserve"> was suggested by an official of the </w:t>
      </w:r>
      <w:proofErr w:type="spellStart"/>
      <w:r w:rsidRPr="00A862A0">
        <w:rPr>
          <w:rFonts w:cs="Times New Roman"/>
        </w:rPr>
        <w:t>POMSoX</w:t>
      </w:r>
      <w:proofErr w:type="spellEnd"/>
      <w:r w:rsidRPr="00A862A0">
        <w:rPr>
          <w:rFonts w:cs="Times New Roman"/>
        </w:rPr>
        <w:t xml:space="preserve"> that financial resources are required to update and upgrade PETS and develop an electronic clearing and settlemen</w:t>
      </w:r>
      <w:r>
        <w:rPr>
          <w:rFonts w:cs="Times New Roman"/>
        </w:rPr>
        <w:t>t and custody system to attract company listings, domestic and foreign investors, and facilitate secondary market transactions</w:t>
      </w:r>
    </w:p>
    <w:p w14:paraId="52887074" w14:textId="77777777" w:rsidR="00B35865" w:rsidRPr="00D80090" w:rsidRDefault="00174A65" w:rsidP="00B35865">
      <w:pPr>
        <w:pStyle w:val="ListParagraph"/>
        <w:widowControl w:val="0"/>
        <w:numPr>
          <w:ilvl w:val="0"/>
          <w:numId w:val="5"/>
        </w:numPr>
        <w:spacing w:after="240"/>
        <w:ind w:left="0" w:firstLine="0"/>
        <w:contextualSpacing w:val="0"/>
        <w:jc w:val="both"/>
      </w:pPr>
      <w:r w:rsidRPr="00D80090">
        <w:t xml:space="preserve"> Bond trading activities of bond dealers and clients are </w:t>
      </w:r>
      <w:r w:rsidR="00B35865">
        <w:t xml:space="preserve">by a negotiated mechanism </w:t>
      </w:r>
      <w:r w:rsidRPr="00D80090">
        <w:lastRenderedPageBreak/>
        <w:t>as over-the-counter (OTC) rather than exchange traded which is order driven. In countries where government securities are listed on the stock exchange</w:t>
      </w:r>
      <w:r w:rsidR="00024640">
        <w:t>,</w:t>
      </w:r>
      <w:r w:rsidRPr="00D80090">
        <w:t xml:space="preserve"> the trading activities are still chiefly OTC. The bond market in PNG should develop as an OTC market regardless </w:t>
      </w:r>
      <w:r w:rsidR="00024640">
        <w:t xml:space="preserve">of </w:t>
      </w:r>
      <w:r w:rsidRPr="00D80090">
        <w:t xml:space="preserve">where a trading platform is housed. It is not uncommon in markets where trades are executed in </w:t>
      </w:r>
      <w:r w:rsidR="00024640">
        <w:t xml:space="preserve">the </w:t>
      </w:r>
      <w:r w:rsidRPr="00D80090">
        <w:t>OTC market and the trade reporting to the exchange are merely pass-through.</w:t>
      </w:r>
      <w:r w:rsidR="00B35865">
        <w:t xml:space="preserve"> </w:t>
      </w:r>
      <w:r w:rsidRPr="00D80090">
        <w:t>Central bank open market activities ut</w:t>
      </w:r>
      <w:r w:rsidR="00B35865">
        <w:t>ilize predominately T-bills, CBBs, and repurchase agreements</w:t>
      </w:r>
      <w:r w:rsidRPr="00D80090">
        <w:t xml:space="preserve"> executed in the OTC market </w:t>
      </w:r>
      <w:r w:rsidR="00B35865">
        <w:t xml:space="preserve">for efficiencies and timeliness. </w:t>
      </w:r>
      <w:r w:rsidR="00A22336">
        <w:t>Government securities are not listed on the stock exchange nor are</w:t>
      </w:r>
      <w:r w:rsidR="00B35865">
        <w:t xml:space="preserve"> there any </w:t>
      </w:r>
      <w:r w:rsidR="00261C7F">
        <w:t>initiative</w:t>
      </w:r>
      <w:r w:rsidR="00B35865">
        <w:t xml:space="preserve"> </w:t>
      </w:r>
      <w:r w:rsidR="00261C7F">
        <w:t>to do so by Treasury.</w:t>
      </w:r>
    </w:p>
    <w:p w14:paraId="574EF8CB" w14:textId="77777777" w:rsidR="00FD0E29" w:rsidRPr="00BF2BFB" w:rsidRDefault="00BF2BFB" w:rsidP="00FD0E29">
      <w:pPr>
        <w:widowControl w:val="0"/>
        <w:spacing w:after="240"/>
        <w:jc w:val="both"/>
        <w:rPr>
          <w:i/>
          <w:u w:val="single"/>
        </w:rPr>
      </w:pPr>
      <w:r w:rsidRPr="00BF2BFB">
        <w:rPr>
          <w:i/>
          <w:u w:val="single"/>
        </w:rPr>
        <w:t>Recommendations-</w:t>
      </w:r>
    </w:p>
    <w:p w14:paraId="0BAB57BF" w14:textId="2FCBF4A9" w:rsidR="00AB6276" w:rsidRPr="00AB6276" w:rsidRDefault="00024640" w:rsidP="00AB6276">
      <w:pPr>
        <w:pStyle w:val="ListParagraph"/>
        <w:widowControl w:val="0"/>
        <w:numPr>
          <w:ilvl w:val="0"/>
          <w:numId w:val="2"/>
        </w:numPr>
        <w:spacing w:after="240"/>
        <w:ind w:left="0" w:firstLine="0"/>
        <w:contextualSpacing w:val="0"/>
        <w:jc w:val="both"/>
        <w:rPr>
          <w:i/>
        </w:rPr>
      </w:pPr>
      <w:r>
        <w:t>It is strongly recommen</w:t>
      </w:r>
      <w:r w:rsidR="0031189F">
        <w:t>ded</w:t>
      </w:r>
      <w:r>
        <w:t xml:space="preserve"> that consideration be given to varying the </w:t>
      </w:r>
      <w:r w:rsidR="003F57B7">
        <w:t>stock exchange’s ownership from the current two</w:t>
      </w:r>
      <w:r w:rsidR="001061A8">
        <w:t xml:space="preserve"> shareholders </w:t>
      </w:r>
      <w:r w:rsidR="003F57B7">
        <w:t>by potentially allowing international ownership, which would import technology and knowledge to the local exchange.</w:t>
      </w:r>
      <w:r w:rsidR="00AB6276">
        <w:rPr>
          <w:i/>
        </w:rPr>
        <w:t xml:space="preserve"> </w:t>
      </w:r>
      <w:proofErr w:type="spellStart"/>
      <w:r w:rsidR="00AB6276">
        <w:t>POMSoX</w:t>
      </w:r>
      <w:proofErr w:type="spellEnd"/>
      <w:r w:rsidR="00AB6276">
        <w:t xml:space="preserve"> encourage greater competition through attracting new participants, domestic and or foreign, in the local market.</w:t>
      </w:r>
    </w:p>
    <w:p w14:paraId="4751DF40" w14:textId="77777777" w:rsidR="00FD0E29" w:rsidRDefault="00FD0E29" w:rsidP="00FD0E29">
      <w:pPr>
        <w:widowControl w:val="0"/>
        <w:spacing w:after="240"/>
        <w:jc w:val="both"/>
      </w:pPr>
    </w:p>
    <w:p w14:paraId="2AEE822D" w14:textId="77777777" w:rsidR="00FD0E29" w:rsidRDefault="00FD0E29" w:rsidP="00FD0E29">
      <w:pPr>
        <w:widowControl w:val="0"/>
        <w:spacing w:after="240"/>
        <w:jc w:val="both"/>
      </w:pPr>
    </w:p>
    <w:p w14:paraId="1B04CFB7" w14:textId="77777777" w:rsidR="00FD0E29" w:rsidRDefault="00FD0E29" w:rsidP="00FD0E29">
      <w:pPr>
        <w:widowControl w:val="0"/>
        <w:spacing w:after="240"/>
        <w:jc w:val="both"/>
      </w:pPr>
    </w:p>
    <w:p w14:paraId="22A17161" w14:textId="77777777" w:rsidR="00FD0E29" w:rsidRDefault="00FD0E29" w:rsidP="00FD0E29">
      <w:pPr>
        <w:widowControl w:val="0"/>
        <w:spacing w:after="240"/>
        <w:jc w:val="both"/>
      </w:pPr>
    </w:p>
    <w:p w14:paraId="26875E2C" w14:textId="77777777" w:rsidR="00FD0E29" w:rsidRDefault="00FD0E29" w:rsidP="00FD0E29">
      <w:pPr>
        <w:widowControl w:val="0"/>
        <w:spacing w:after="240"/>
        <w:jc w:val="both"/>
      </w:pPr>
    </w:p>
    <w:p w14:paraId="32347FD9" w14:textId="77777777" w:rsidR="00A22336" w:rsidRDefault="00A22336" w:rsidP="00FD0E29">
      <w:pPr>
        <w:widowControl w:val="0"/>
        <w:spacing w:after="240"/>
        <w:jc w:val="both"/>
      </w:pPr>
    </w:p>
    <w:p w14:paraId="0B4CB682" w14:textId="77777777" w:rsidR="008B3D04" w:rsidRDefault="008B3D04" w:rsidP="00FD0E29">
      <w:pPr>
        <w:widowControl w:val="0"/>
        <w:spacing w:after="240"/>
        <w:jc w:val="both"/>
      </w:pPr>
    </w:p>
    <w:p w14:paraId="1902570C" w14:textId="77777777" w:rsidR="008B3D04" w:rsidRDefault="008B3D04" w:rsidP="00FD0E29">
      <w:pPr>
        <w:widowControl w:val="0"/>
        <w:spacing w:after="240"/>
        <w:jc w:val="both"/>
      </w:pPr>
    </w:p>
    <w:p w14:paraId="09D21538" w14:textId="77777777" w:rsidR="008B3D04" w:rsidRDefault="008B3D04" w:rsidP="00FD0E29">
      <w:pPr>
        <w:widowControl w:val="0"/>
        <w:spacing w:after="240"/>
        <w:jc w:val="both"/>
      </w:pPr>
    </w:p>
    <w:p w14:paraId="5B84BF1D" w14:textId="77777777" w:rsidR="008B3D04" w:rsidRDefault="008B3D04" w:rsidP="00FD0E29">
      <w:pPr>
        <w:widowControl w:val="0"/>
        <w:spacing w:after="240"/>
        <w:jc w:val="both"/>
      </w:pPr>
    </w:p>
    <w:p w14:paraId="0EA4971A" w14:textId="77777777" w:rsidR="008B3D04" w:rsidRDefault="008B3D04" w:rsidP="00FD0E29">
      <w:pPr>
        <w:widowControl w:val="0"/>
        <w:spacing w:after="240"/>
        <w:jc w:val="both"/>
      </w:pPr>
    </w:p>
    <w:p w14:paraId="5B457292" w14:textId="77777777" w:rsidR="008B3D04" w:rsidRDefault="008B3D04" w:rsidP="00FD0E29">
      <w:pPr>
        <w:widowControl w:val="0"/>
        <w:spacing w:after="240"/>
        <w:jc w:val="both"/>
      </w:pPr>
    </w:p>
    <w:p w14:paraId="124938BD" w14:textId="77777777" w:rsidR="008B3D04" w:rsidRDefault="008B3D04" w:rsidP="00FD0E29">
      <w:pPr>
        <w:widowControl w:val="0"/>
        <w:spacing w:after="240"/>
        <w:jc w:val="both"/>
      </w:pPr>
    </w:p>
    <w:p w14:paraId="231974B6" w14:textId="77777777" w:rsidR="00A22336" w:rsidRDefault="00A22336" w:rsidP="00FD0E29">
      <w:pPr>
        <w:widowControl w:val="0"/>
        <w:spacing w:after="240"/>
        <w:jc w:val="both"/>
      </w:pPr>
    </w:p>
    <w:p w14:paraId="0F8FB9C6" w14:textId="77777777" w:rsidR="00161D47" w:rsidRDefault="00161D47" w:rsidP="003F57B7">
      <w:pPr>
        <w:widowControl w:val="0"/>
        <w:spacing w:after="240"/>
        <w:rPr>
          <w:b/>
          <w:noProof/>
        </w:rPr>
      </w:pPr>
    </w:p>
    <w:p w14:paraId="37957106" w14:textId="77777777" w:rsidR="00056D87" w:rsidRDefault="00056D87" w:rsidP="003F57B7">
      <w:pPr>
        <w:widowControl w:val="0"/>
        <w:spacing w:after="240"/>
        <w:rPr>
          <w:b/>
          <w:noProof/>
        </w:rPr>
      </w:pPr>
    </w:p>
    <w:p w14:paraId="68C4E138" w14:textId="77777777" w:rsidR="00EA2D3A" w:rsidRPr="00C83DE3" w:rsidRDefault="00F2097A" w:rsidP="00C83DE3">
      <w:pPr>
        <w:widowControl w:val="0"/>
        <w:spacing w:after="240"/>
        <w:jc w:val="center"/>
        <w:rPr>
          <w:b/>
          <w:noProof/>
        </w:rPr>
      </w:pPr>
      <w:r>
        <w:rPr>
          <w:b/>
          <w:noProof/>
        </w:rPr>
        <w:lastRenderedPageBreak/>
        <w:t>Annex 1</w:t>
      </w:r>
      <w:r w:rsidR="00C83DE3">
        <w:rPr>
          <w:b/>
          <w:noProof/>
        </w:rPr>
        <w:t>:</w:t>
      </w:r>
      <w:r w:rsidR="00BF4DFA" w:rsidRPr="00C83DE3">
        <w:rPr>
          <w:b/>
          <w:noProof/>
        </w:rPr>
        <w:t xml:space="preserve"> Summary of Recommendations</w:t>
      </w:r>
      <w:r w:rsidR="007259A9">
        <w:rPr>
          <w:b/>
          <w:noProof/>
        </w:rPr>
        <w:t xml:space="preserve"> &amp; Actions</w:t>
      </w:r>
    </w:p>
    <w:tbl>
      <w:tblPr>
        <w:tblW w:w="0" w:type="auto"/>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5"/>
        <w:gridCol w:w="1117"/>
        <w:gridCol w:w="1055"/>
        <w:gridCol w:w="865"/>
      </w:tblGrid>
      <w:tr w:rsidR="00291C18" w:rsidRPr="00D80090" w14:paraId="28337369" w14:textId="77777777" w:rsidTr="00404E8C">
        <w:trPr>
          <w:jc w:val="center"/>
        </w:trPr>
        <w:tc>
          <w:tcPr>
            <w:tcW w:w="5945" w:type="dxa"/>
            <w:shd w:val="clear" w:color="auto" w:fill="E0E0E0"/>
            <w:vAlign w:val="center"/>
          </w:tcPr>
          <w:p w14:paraId="3F5310B0" w14:textId="77777777" w:rsidR="00291C18" w:rsidRPr="00AF0E2E" w:rsidRDefault="00291C18" w:rsidP="00404E8C">
            <w:pPr>
              <w:rPr>
                <w:rFonts w:cs="Times New Roman"/>
                <w:b/>
                <w:sz w:val="22"/>
                <w:szCs w:val="22"/>
              </w:rPr>
            </w:pPr>
          </w:p>
          <w:p w14:paraId="70B400A2" w14:textId="77777777" w:rsidR="00291C18" w:rsidRPr="007259A9" w:rsidRDefault="00291C18" w:rsidP="00404E8C">
            <w:pPr>
              <w:rPr>
                <w:rFonts w:cs="Times New Roman"/>
                <w:b/>
              </w:rPr>
            </w:pPr>
            <w:r w:rsidRPr="007259A9">
              <w:rPr>
                <w:rFonts w:cs="Times New Roman"/>
                <w:b/>
              </w:rPr>
              <w:t xml:space="preserve">Recommendations </w:t>
            </w:r>
          </w:p>
          <w:p w14:paraId="448938BE" w14:textId="77777777" w:rsidR="00291C18" w:rsidRPr="00AF0E2E" w:rsidRDefault="00291C18" w:rsidP="00404E8C">
            <w:pPr>
              <w:rPr>
                <w:rFonts w:cs="Times New Roman"/>
                <w:b/>
                <w:sz w:val="22"/>
                <w:szCs w:val="22"/>
              </w:rPr>
            </w:pPr>
          </w:p>
        </w:tc>
        <w:tc>
          <w:tcPr>
            <w:tcW w:w="1117" w:type="dxa"/>
            <w:shd w:val="clear" w:color="auto" w:fill="E0E0E0"/>
            <w:vAlign w:val="center"/>
          </w:tcPr>
          <w:p w14:paraId="5F52AE75" w14:textId="77777777" w:rsidR="00291C18" w:rsidRPr="00AF0E2E" w:rsidRDefault="00291C18" w:rsidP="00404E8C">
            <w:pPr>
              <w:jc w:val="center"/>
              <w:rPr>
                <w:rFonts w:cs="Times New Roman"/>
                <w:b/>
                <w:sz w:val="22"/>
                <w:szCs w:val="22"/>
              </w:rPr>
            </w:pPr>
          </w:p>
          <w:p w14:paraId="01FBABC1" w14:textId="77777777" w:rsidR="00291C18" w:rsidRPr="00AF0E2E" w:rsidRDefault="00291C18" w:rsidP="00404E8C">
            <w:pPr>
              <w:jc w:val="center"/>
              <w:rPr>
                <w:rFonts w:cs="Times New Roman"/>
                <w:b/>
                <w:sz w:val="22"/>
                <w:szCs w:val="22"/>
              </w:rPr>
            </w:pPr>
            <w:r w:rsidRPr="00AF0E2E">
              <w:rPr>
                <w:rFonts w:cs="Times New Roman"/>
                <w:b/>
                <w:sz w:val="22"/>
                <w:szCs w:val="22"/>
              </w:rPr>
              <w:t>Priority</w:t>
            </w:r>
          </w:p>
          <w:p w14:paraId="2EF8B826" w14:textId="77777777" w:rsidR="00291C18" w:rsidRPr="00AF0E2E" w:rsidRDefault="00291C18" w:rsidP="00404E8C">
            <w:pPr>
              <w:jc w:val="center"/>
              <w:rPr>
                <w:rFonts w:cs="Times New Roman"/>
                <w:b/>
                <w:sz w:val="22"/>
                <w:szCs w:val="22"/>
              </w:rPr>
            </w:pPr>
          </w:p>
        </w:tc>
        <w:tc>
          <w:tcPr>
            <w:tcW w:w="1055" w:type="dxa"/>
            <w:shd w:val="clear" w:color="auto" w:fill="E0E0E0"/>
          </w:tcPr>
          <w:p w14:paraId="16BD43A8" w14:textId="77777777" w:rsidR="00291C18" w:rsidRPr="00AF0E2E" w:rsidRDefault="00291C18" w:rsidP="00404E8C">
            <w:pPr>
              <w:jc w:val="center"/>
              <w:rPr>
                <w:rFonts w:cs="Times New Roman"/>
                <w:b/>
                <w:sz w:val="22"/>
                <w:szCs w:val="22"/>
              </w:rPr>
            </w:pPr>
            <w:r w:rsidRPr="00AF0E2E">
              <w:rPr>
                <w:rFonts w:cs="Times New Roman"/>
                <w:b/>
                <w:sz w:val="22"/>
                <w:szCs w:val="22"/>
              </w:rPr>
              <w:t>Time Frame</w:t>
            </w:r>
          </w:p>
        </w:tc>
        <w:tc>
          <w:tcPr>
            <w:tcW w:w="865" w:type="dxa"/>
            <w:shd w:val="clear" w:color="auto" w:fill="E0E0E0"/>
            <w:vAlign w:val="center"/>
          </w:tcPr>
          <w:p w14:paraId="75D930D6" w14:textId="77777777" w:rsidR="00291C18" w:rsidRPr="00AF0E2E" w:rsidRDefault="00291C18" w:rsidP="00404E8C">
            <w:pPr>
              <w:jc w:val="center"/>
              <w:rPr>
                <w:rFonts w:cs="Times New Roman"/>
                <w:b/>
                <w:sz w:val="22"/>
                <w:szCs w:val="22"/>
              </w:rPr>
            </w:pPr>
          </w:p>
        </w:tc>
      </w:tr>
      <w:tr w:rsidR="00291C18" w:rsidRPr="00D80090" w14:paraId="5F773954" w14:textId="77777777" w:rsidTr="00404E8C">
        <w:trPr>
          <w:jc w:val="center"/>
        </w:trPr>
        <w:tc>
          <w:tcPr>
            <w:tcW w:w="5945" w:type="dxa"/>
            <w:tcBorders>
              <w:bottom w:val="single" w:sz="4" w:space="0" w:color="auto"/>
            </w:tcBorders>
          </w:tcPr>
          <w:p w14:paraId="58DF4BC0" w14:textId="77777777" w:rsidR="00291C18" w:rsidRPr="00AF0E2E" w:rsidRDefault="00291C18" w:rsidP="00404E8C">
            <w:pPr>
              <w:rPr>
                <w:rFonts w:cs="Times New Roman"/>
                <w:sz w:val="22"/>
                <w:szCs w:val="22"/>
              </w:rPr>
            </w:pPr>
            <w:r w:rsidRPr="00AF0E2E">
              <w:rPr>
                <w:rFonts w:cs="Times New Roman"/>
                <w:sz w:val="22"/>
                <w:szCs w:val="22"/>
              </w:rPr>
              <w:t>Short-Term (ST</w:t>
            </w:r>
            <w:proofErr w:type="gramStart"/>
            <w:r w:rsidRPr="00AF0E2E">
              <w:rPr>
                <w:rFonts w:cs="Times New Roman"/>
                <w:sz w:val="22"/>
                <w:szCs w:val="22"/>
              </w:rPr>
              <w:t xml:space="preserve">)       </w:t>
            </w:r>
            <w:r>
              <w:rPr>
                <w:rFonts w:cs="Times New Roman"/>
                <w:sz w:val="22"/>
                <w:szCs w:val="22"/>
              </w:rPr>
              <w:t xml:space="preserve">   </w:t>
            </w:r>
            <w:r w:rsidRPr="00AF0E2E">
              <w:rPr>
                <w:rFonts w:cs="Times New Roman"/>
                <w:sz w:val="22"/>
                <w:szCs w:val="22"/>
              </w:rPr>
              <w:t>6</w:t>
            </w:r>
            <w:proofErr w:type="gramEnd"/>
            <w:r w:rsidRPr="00AF0E2E">
              <w:rPr>
                <w:rFonts w:cs="Times New Roman"/>
                <w:sz w:val="22"/>
                <w:szCs w:val="22"/>
              </w:rPr>
              <w:t>-to-12 Months</w:t>
            </w:r>
          </w:p>
          <w:p w14:paraId="0969DEF8" w14:textId="77777777" w:rsidR="00291C18" w:rsidRPr="00AF0E2E" w:rsidRDefault="00291C18" w:rsidP="00404E8C">
            <w:pPr>
              <w:rPr>
                <w:rFonts w:cs="Times New Roman"/>
                <w:sz w:val="22"/>
                <w:szCs w:val="22"/>
              </w:rPr>
            </w:pPr>
            <w:r w:rsidRPr="00AF0E2E">
              <w:rPr>
                <w:rFonts w:cs="Times New Roman"/>
                <w:sz w:val="22"/>
                <w:szCs w:val="22"/>
              </w:rPr>
              <w:t>Medium-Term (MT</w:t>
            </w:r>
            <w:proofErr w:type="gramStart"/>
            <w:r w:rsidRPr="00AF0E2E">
              <w:rPr>
                <w:rFonts w:cs="Times New Roman"/>
                <w:sz w:val="22"/>
                <w:szCs w:val="22"/>
              </w:rPr>
              <w:t xml:space="preserve">)   </w:t>
            </w:r>
            <w:r>
              <w:rPr>
                <w:rFonts w:cs="Times New Roman"/>
                <w:sz w:val="22"/>
                <w:szCs w:val="22"/>
              </w:rPr>
              <w:t xml:space="preserve"> 1</w:t>
            </w:r>
            <w:proofErr w:type="gramEnd"/>
            <w:r>
              <w:rPr>
                <w:rFonts w:cs="Times New Roman"/>
                <w:sz w:val="22"/>
                <w:szCs w:val="22"/>
              </w:rPr>
              <w:t>-to-3</w:t>
            </w:r>
            <w:r w:rsidRPr="00AF0E2E">
              <w:rPr>
                <w:rFonts w:cs="Times New Roman"/>
                <w:sz w:val="22"/>
                <w:szCs w:val="22"/>
              </w:rPr>
              <w:t xml:space="preserve"> Years</w:t>
            </w:r>
          </w:p>
          <w:p w14:paraId="3D9B77E2" w14:textId="77777777" w:rsidR="00291C18" w:rsidRPr="00AF0E2E" w:rsidRDefault="00291C18" w:rsidP="00404E8C">
            <w:pPr>
              <w:rPr>
                <w:rFonts w:cs="Times New Roman"/>
                <w:sz w:val="22"/>
                <w:szCs w:val="22"/>
              </w:rPr>
            </w:pPr>
            <w:r w:rsidRPr="00AF0E2E">
              <w:rPr>
                <w:rFonts w:cs="Times New Roman"/>
                <w:sz w:val="22"/>
                <w:szCs w:val="22"/>
              </w:rPr>
              <w:t>Long-Term (LT</w:t>
            </w:r>
            <w:proofErr w:type="gramStart"/>
            <w:r w:rsidRPr="00AF0E2E">
              <w:rPr>
                <w:rFonts w:cs="Times New Roman"/>
                <w:sz w:val="22"/>
                <w:szCs w:val="22"/>
              </w:rPr>
              <w:t xml:space="preserve">)         </w:t>
            </w:r>
            <w:r>
              <w:rPr>
                <w:rFonts w:cs="Times New Roman"/>
                <w:sz w:val="22"/>
                <w:szCs w:val="22"/>
              </w:rPr>
              <w:t xml:space="preserve"> 3</w:t>
            </w:r>
            <w:proofErr w:type="gramEnd"/>
            <w:r>
              <w:rPr>
                <w:rFonts w:cs="Times New Roman"/>
                <w:sz w:val="22"/>
                <w:szCs w:val="22"/>
              </w:rPr>
              <w:t>-to- 7</w:t>
            </w:r>
            <w:r w:rsidRPr="00AF0E2E">
              <w:rPr>
                <w:rFonts w:cs="Times New Roman"/>
                <w:sz w:val="22"/>
                <w:szCs w:val="22"/>
              </w:rPr>
              <w:t xml:space="preserve"> Years </w:t>
            </w:r>
          </w:p>
        </w:tc>
        <w:tc>
          <w:tcPr>
            <w:tcW w:w="1117" w:type="dxa"/>
            <w:tcBorders>
              <w:bottom w:val="single" w:sz="4" w:space="0" w:color="auto"/>
            </w:tcBorders>
            <w:vAlign w:val="center"/>
          </w:tcPr>
          <w:p w14:paraId="1052DDE4" w14:textId="77777777" w:rsidR="00291C18" w:rsidRPr="00AF0E2E" w:rsidRDefault="00291C18" w:rsidP="00404E8C">
            <w:pPr>
              <w:rPr>
                <w:rFonts w:cs="Times New Roman"/>
                <w:sz w:val="22"/>
                <w:szCs w:val="22"/>
              </w:rPr>
            </w:pPr>
          </w:p>
        </w:tc>
        <w:tc>
          <w:tcPr>
            <w:tcW w:w="1055" w:type="dxa"/>
            <w:tcBorders>
              <w:bottom w:val="single" w:sz="4" w:space="0" w:color="auto"/>
            </w:tcBorders>
          </w:tcPr>
          <w:p w14:paraId="56171D90" w14:textId="77777777" w:rsidR="00291C18" w:rsidRPr="00AF0E2E" w:rsidRDefault="00291C18" w:rsidP="00404E8C">
            <w:pPr>
              <w:rPr>
                <w:rFonts w:cs="Times New Roman"/>
                <w:noProof/>
                <w:sz w:val="22"/>
                <w:szCs w:val="22"/>
              </w:rPr>
            </w:pPr>
          </w:p>
        </w:tc>
        <w:tc>
          <w:tcPr>
            <w:tcW w:w="865" w:type="dxa"/>
            <w:tcBorders>
              <w:bottom w:val="single" w:sz="4" w:space="0" w:color="auto"/>
            </w:tcBorders>
          </w:tcPr>
          <w:p w14:paraId="4FD5FDD2" w14:textId="77777777" w:rsidR="00291C18" w:rsidRPr="00AF0E2E" w:rsidRDefault="00291C18" w:rsidP="00404E8C">
            <w:pPr>
              <w:rPr>
                <w:rFonts w:cs="Times New Roman"/>
                <w:sz w:val="22"/>
                <w:szCs w:val="22"/>
              </w:rPr>
            </w:pPr>
          </w:p>
        </w:tc>
      </w:tr>
      <w:tr w:rsidR="00291C18" w:rsidRPr="00D80090" w14:paraId="044812B2" w14:textId="77777777" w:rsidTr="00404E8C">
        <w:trPr>
          <w:jc w:val="center"/>
        </w:trPr>
        <w:tc>
          <w:tcPr>
            <w:tcW w:w="5945" w:type="dxa"/>
            <w:tcBorders>
              <w:bottom w:val="single" w:sz="4" w:space="0" w:color="auto"/>
            </w:tcBorders>
            <w:shd w:val="clear" w:color="auto" w:fill="E0E0E0"/>
            <w:vAlign w:val="center"/>
          </w:tcPr>
          <w:p w14:paraId="7BDF35C3" w14:textId="77777777" w:rsidR="00291C18" w:rsidRPr="00AF0E2E" w:rsidRDefault="00291C18" w:rsidP="00404E8C">
            <w:pPr>
              <w:rPr>
                <w:rFonts w:cs="Times New Roman"/>
                <w:b/>
                <w:sz w:val="22"/>
                <w:szCs w:val="22"/>
              </w:rPr>
            </w:pPr>
            <w:r w:rsidRPr="00AF0E2E">
              <w:rPr>
                <w:rFonts w:cs="Times New Roman"/>
                <w:b/>
                <w:sz w:val="22"/>
                <w:szCs w:val="22"/>
              </w:rPr>
              <w:t>Legal &amp; Regulatory</w:t>
            </w:r>
          </w:p>
        </w:tc>
        <w:tc>
          <w:tcPr>
            <w:tcW w:w="1117" w:type="dxa"/>
            <w:tcBorders>
              <w:bottom w:val="single" w:sz="4" w:space="0" w:color="auto"/>
            </w:tcBorders>
            <w:shd w:val="clear" w:color="auto" w:fill="E0E0E0"/>
            <w:vAlign w:val="center"/>
          </w:tcPr>
          <w:p w14:paraId="3D1E6969" w14:textId="77777777" w:rsidR="00291C18" w:rsidRPr="00AF0E2E" w:rsidRDefault="00291C18" w:rsidP="00404E8C">
            <w:pPr>
              <w:rPr>
                <w:rFonts w:cs="Times New Roman"/>
                <w:sz w:val="22"/>
                <w:szCs w:val="22"/>
              </w:rPr>
            </w:pPr>
          </w:p>
        </w:tc>
        <w:tc>
          <w:tcPr>
            <w:tcW w:w="1055" w:type="dxa"/>
            <w:tcBorders>
              <w:bottom w:val="single" w:sz="4" w:space="0" w:color="auto"/>
            </w:tcBorders>
            <w:shd w:val="clear" w:color="auto" w:fill="E0E0E0"/>
            <w:vAlign w:val="center"/>
          </w:tcPr>
          <w:p w14:paraId="52BEA674" w14:textId="77777777" w:rsidR="00291C18" w:rsidRPr="00AF0E2E" w:rsidRDefault="00291C18" w:rsidP="00404E8C">
            <w:pPr>
              <w:rPr>
                <w:rFonts w:cs="Times New Roman"/>
                <w:noProof/>
                <w:sz w:val="22"/>
                <w:szCs w:val="22"/>
              </w:rPr>
            </w:pPr>
          </w:p>
        </w:tc>
        <w:tc>
          <w:tcPr>
            <w:tcW w:w="865" w:type="dxa"/>
            <w:tcBorders>
              <w:bottom w:val="single" w:sz="4" w:space="0" w:color="auto"/>
            </w:tcBorders>
            <w:shd w:val="clear" w:color="auto" w:fill="E0E0E0"/>
            <w:vAlign w:val="center"/>
          </w:tcPr>
          <w:p w14:paraId="77048AA7" w14:textId="77777777" w:rsidR="00291C18" w:rsidRPr="00AF0E2E" w:rsidRDefault="00291C18" w:rsidP="00404E8C">
            <w:pPr>
              <w:rPr>
                <w:rFonts w:cs="Times New Roman"/>
                <w:sz w:val="22"/>
                <w:szCs w:val="22"/>
              </w:rPr>
            </w:pPr>
          </w:p>
        </w:tc>
      </w:tr>
      <w:tr w:rsidR="00291C18" w:rsidRPr="00D80090" w14:paraId="09230A85" w14:textId="77777777" w:rsidTr="00056D87">
        <w:trPr>
          <w:trHeight w:val="1340"/>
          <w:jc w:val="center"/>
        </w:trPr>
        <w:tc>
          <w:tcPr>
            <w:tcW w:w="5945" w:type="dxa"/>
            <w:shd w:val="clear" w:color="auto" w:fill="auto"/>
            <w:vAlign w:val="center"/>
          </w:tcPr>
          <w:p w14:paraId="5C01EB0A" w14:textId="2E46BD8B" w:rsidR="00291C18" w:rsidRPr="00056D87" w:rsidRDefault="00056D87" w:rsidP="00056D87">
            <w:pPr>
              <w:pStyle w:val="ListParagraph"/>
              <w:widowControl w:val="0"/>
              <w:ind w:left="0"/>
              <w:contextualSpacing w:val="0"/>
              <w:jc w:val="both"/>
              <w:rPr>
                <w:rFonts w:cs="Times New Roman"/>
                <w:sz w:val="22"/>
                <w:szCs w:val="22"/>
              </w:rPr>
            </w:pPr>
            <w:r>
              <w:rPr>
                <w:rFonts w:cs="Times New Roman"/>
                <w:sz w:val="22"/>
                <w:szCs w:val="22"/>
              </w:rPr>
              <w:t>R</w:t>
            </w:r>
            <w:r w:rsidRPr="00056D87">
              <w:rPr>
                <w:rFonts w:cs="Times New Roman"/>
                <w:sz w:val="22"/>
                <w:szCs w:val="22"/>
              </w:rPr>
              <w:t xml:space="preserve">eview and potentially amend Loans Securities Act 1960 and T-Bills Act 1974, as well as any relevant Memorandums of Understanding (MOUs) to ensure the acts and MOUs are consistent with the current public debt management policies, objectives, and activities. </w:t>
            </w:r>
            <w:r w:rsidR="00291C18" w:rsidRPr="007259A9">
              <w:rPr>
                <w:rFonts w:cs="Times New Roman"/>
                <w:b/>
                <w:i/>
                <w:sz w:val="22"/>
                <w:szCs w:val="22"/>
              </w:rPr>
              <w:t>(FMD)</w:t>
            </w:r>
          </w:p>
        </w:tc>
        <w:tc>
          <w:tcPr>
            <w:tcW w:w="1117" w:type="dxa"/>
            <w:shd w:val="clear" w:color="auto" w:fill="auto"/>
            <w:vAlign w:val="center"/>
          </w:tcPr>
          <w:p w14:paraId="50A2B733" w14:textId="3FFBD9C0" w:rsidR="00291C18" w:rsidRPr="007259A9" w:rsidRDefault="00056D87" w:rsidP="00404E8C">
            <w:pPr>
              <w:jc w:val="center"/>
              <w:rPr>
                <w:rFonts w:cs="Times New Roman"/>
                <w:b/>
              </w:rPr>
            </w:pPr>
            <w:r>
              <w:rPr>
                <w:rFonts w:cs="Times New Roman"/>
                <w:b/>
              </w:rPr>
              <w:t>M</w:t>
            </w:r>
          </w:p>
        </w:tc>
        <w:tc>
          <w:tcPr>
            <w:tcW w:w="1055" w:type="dxa"/>
            <w:shd w:val="clear" w:color="auto" w:fill="auto"/>
            <w:vAlign w:val="center"/>
          </w:tcPr>
          <w:p w14:paraId="0D5AEDD5" w14:textId="37E02CC6" w:rsidR="00291C18" w:rsidRPr="00AF0E2E" w:rsidRDefault="00056D87" w:rsidP="00404E8C">
            <w:pPr>
              <w:jc w:val="center"/>
              <w:rPr>
                <w:rFonts w:cs="Times New Roman"/>
                <w:noProof/>
                <w:sz w:val="22"/>
                <w:szCs w:val="22"/>
              </w:rPr>
            </w:pPr>
            <w:r>
              <w:rPr>
                <w:rFonts w:cs="Times New Roman"/>
                <w:b/>
              </w:rPr>
              <w:t>M</w:t>
            </w:r>
            <w:r w:rsidR="00291C18" w:rsidRPr="007259A9">
              <w:rPr>
                <w:rFonts w:cs="Times New Roman"/>
                <w:b/>
              </w:rPr>
              <w:t>T</w:t>
            </w:r>
          </w:p>
        </w:tc>
        <w:tc>
          <w:tcPr>
            <w:tcW w:w="865" w:type="dxa"/>
            <w:shd w:val="clear" w:color="auto" w:fill="auto"/>
            <w:vAlign w:val="center"/>
          </w:tcPr>
          <w:p w14:paraId="7462B0BC" w14:textId="77777777" w:rsidR="00291C18" w:rsidRPr="00AF0E2E" w:rsidRDefault="00291C18" w:rsidP="00404E8C">
            <w:pPr>
              <w:rPr>
                <w:rFonts w:cs="Times New Roman"/>
                <w:sz w:val="22"/>
                <w:szCs w:val="22"/>
              </w:rPr>
            </w:pPr>
          </w:p>
        </w:tc>
      </w:tr>
      <w:tr w:rsidR="00291C18" w:rsidRPr="00D80090" w14:paraId="3FCFD657" w14:textId="77777777" w:rsidTr="00404E8C">
        <w:trPr>
          <w:jc w:val="center"/>
        </w:trPr>
        <w:tc>
          <w:tcPr>
            <w:tcW w:w="5945" w:type="dxa"/>
            <w:shd w:val="clear" w:color="auto" w:fill="auto"/>
            <w:vAlign w:val="center"/>
          </w:tcPr>
          <w:p w14:paraId="4ADAEE95" w14:textId="77777777" w:rsidR="00291C18" w:rsidRPr="00AF0E2E" w:rsidRDefault="00291C18" w:rsidP="00404E8C">
            <w:pPr>
              <w:jc w:val="both"/>
              <w:rPr>
                <w:rFonts w:cs="Times New Roman"/>
                <w:sz w:val="22"/>
                <w:szCs w:val="22"/>
              </w:rPr>
            </w:pPr>
            <w:r w:rsidRPr="007259A9">
              <w:rPr>
                <w:rFonts w:cs="Times New Roman"/>
                <w:sz w:val="22"/>
                <w:szCs w:val="22"/>
              </w:rPr>
              <w:t>Ensure all relevant parties adopt the Master Repurchase Agreement’s legal basis</w:t>
            </w:r>
            <w:r>
              <w:rPr>
                <w:rFonts w:cs="Times New Roman"/>
                <w:sz w:val="22"/>
                <w:szCs w:val="22"/>
              </w:rPr>
              <w:t xml:space="preserve">. </w:t>
            </w:r>
            <w:r w:rsidRPr="007259A9">
              <w:rPr>
                <w:rFonts w:cs="Times New Roman"/>
                <w:b/>
                <w:i/>
                <w:sz w:val="22"/>
                <w:szCs w:val="22"/>
              </w:rPr>
              <w:t>(BPNG)</w:t>
            </w:r>
          </w:p>
        </w:tc>
        <w:tc>
          <w:tcPr>
            <w:tcW w:w="1117" w:type="dxa"/>
            <w:shd w:val="clear" w:color="auto" w:fill="auto"/>
            <w:vAlign w:val="center"/>
          </w:tcPr>
          <w:p w14:paraId="4BFFA684" w14:textId="77777777" w:rsidR="00291C18" w:rsidRPr="007259A9" w:rsidRDefault="00291C18" w:rsidP="00404E8C">
            <w:pPr>
              <w:jc w:val="center"/>
              <w:rPr>
                <w:rFonts w:cs="Times New Roman"/>
                <w:b/>
              </w:rPr>
            </w:pPr>
            <w:r>
              <w:rPr>
                <w:rFonts w:cs="Times New Roman"/>
                <w:b/>
              </w:rPr>
              <w:t>H</w:t>
            </w:r>
          </w:p>
        </w:tc>
        <w:tc>
          <w:tcPr>
            <w:tcW w:w="1055" w:type="dxa"/>
            <w:shd w:val="clear" w:color="auto" w:fill="auto"/>
            <w:vAlign w:val="center"/>
          </w:tcPr>
          <w:p w14:paraId="29A3EE5F" w14:textId="77777777" w:rsidR="00291C18" w:rsidRPr="007259A9" w:rsidRDefault="00291C18" w:rsidP="00404E8C">
            <w:pPr>
              <w:jc w:val="center"/>
              <w:rPr>
                <w:rFonts w:cs="Times New Roman"/>
                <w:b/>
              </w:rPr>
            </w:pPr>
            <w:r>
              <w:rPr>
                <w:rFonts w:cs="Times New Roman"/>
                <w:b/>
              </w:rPr>
              <w:t>ST</w:t>
            </w:r>
          </w:p>
        </w:tc>
        <w:tc>
          <w:tcPr>
            <w:tcW w:w="865" w:type="dxa"/>
            <w:shd w:val="clear" w:color="auto" w:fill="auto"/>
            <w:vAlign w:val="center"/>
          </w:tcPr>
          <w:p w14:paraId="10FC72E1" w14:textId="77777777" w:rsidR="00291C18" w:rsidRPr="00AF0E2E" w:rsidRDefault="00291C18" w:rsidP="00404E8C">
            <w:pPr>
              <w:rPr>
                <w:rFonts w:cs="Times New Roman"/>
                <w:sz w:val="22"/>
                <w:szCs w:val="22"/>
              </w:rPr>
            </w:pPr>
          </w:p>
        </w:tc>
      </w:tr>
      <w:tr w:rsidR="00291C18" w:rsidRPr="00D80090" w14:paraId="31BB8877" w14:textId="77777777" w:rsidTr="00404E8C">
        <w:trPr>
          <w:jc w:val="center"/>
        </w:trPr>
        <w:tc>
          <w:tcPr>
            <w:tcW w:w="5945" w:type="dxa"/>
            <w:tcBorders>
              <w:bottom w:val="single" w:sz="4" w:space="0" w:color="auto"/>
            </w:tcBorders>
            <w:shd w:val="clear" w:color="auto" w:fill="auto"/>
            <w:vAlign w:val="center"/>
          </w:tcPr>
          <w:p w14:paraId="235E8EB7" w14:textId="77777777" w:rsidR="00291C18" w:rsidRPr="00AF0E2E" w:rsidRDefault="00291C18" w:rsidP="00404E8C">
            <w:pPr>
              <w:jc w:val="both"/>
              <w:rPr>
                <w:rFonts w:cs="Times New Roman"/>
                <w:sz w:val="22"/>
                <w:szCs w:val="22"/>
              </w:rPr>
            </w:pPr>
            <w:r>
              <w:rPr>
                <w:rFonts w:cs="Times New Roman"/>
                <w:sz w:val="22"/>
                <w:szCs w:val="22"/>
              </w:rPr>
              <w:t>E</w:t>
            </w:r>
            <w:r w:rsidRPr="007259A9">
              <w:rPr>
                <w:rFonts w:cs="Times New Roman"/>
                <w:sz w:val="22"/>
                <w:szCs w:val="22"/>
              </w:rPr>
              <w:t>stablish a code of conduct, market convention, and reporting requirements for market participants transacting in the primary and secondary market</w:t>
            </w:r>
            <w:r>
              <w:rPr>
                <w:rFonts w:cs="Times New Roman"/>
                <w:sz w:val="22"/>
                <w:szCs w:val="22"/>
              </w:rPr>
              <w:t xml:space="preserve">. </w:t>
            </w:r>
            <w:r w:rsidRPr="007259A9">
              <w:rPr>
                <w:rFonts w:cs="Times New Roman"/>
                <w:b/>
                <w:i/>
                <w:sz w:val="22"/>
                <w:szCs w:val="22"/>
              </w:rPr>
              <w:t>(BPNG)</w:t>
            </w:r>
          </w:p>
        </w:tc>
        <w:tc>
          <w:tcPr>
            <w:tcW w:w="1117" w:type="dxa"/>
            <w:tcBorders>
              <w:bottom w:val="single" w:sz="4" w:space="0" w:color="auto"/>
            </w:tcBorders>
            <w:shd w:val="clear" w:color="auto" w:fill="auto"/>
            <w:vAlign w:val="center"/>
          </w:tcPr>
          <w:p w14:paraId="7D95C46A" w14:textId="77777777" w:rsidR="00291C18" w:rsidRPr="007259A9" w:rsidRDefault="00291C18" w:rsidP="00404E8C">
            <w:pPr>
              <w:jc w:val="center"/>
              <w:rPr>
                <w:rFonts w:cs="Times New Roman"/>
                <w:b/>
              </w:rPr>
            </w:pPr>
            <w:r>
              <w:rPr>
                <w:rFonts w:cs="Times New Roman"/>
                <w:b/>
              </w:rPr>
              <w:t>M</w:t>
            </w:r>
          </w:p>
        </w:tc>
        <w:tc>
          <w:tcPr>
            <w:tcW w:w="1055" w:type="dxa"/>
            <w:tcBorders>
              <w:bottom w:val="single" w:sz="4" w:space="0" w:color="auto"/>
            </w:tcBorders>
            <w:shd w:val="clear" w:color="auto" w:fill="auto"/>
            <w:vAlign w:val="center"/>
          </w:tcPr>
          <w:p w14:paraId="759D10B7" w14:textId="77777777" w:rsidR="00291C18" w:rsidRPr="007259A9" w:rsidRDefault="00291C18" w:rsidP="00404E8C">
            <w:pPr>
              <w:jc w:val="center"/>
              <w:rPr>
                <w:rFonts w:cs="Times New Roman"/>
                <w:b/>
              </w:rPr>
            </w:pPr>
            <w:r>
              <w:rPr>
                <w:rFonts w:cs="Times New Roman"/>
                <w:b/>
              </w:rPr>
              <w:t>MT</w:t>
            </w:r>
          </w:p>
        </w:tc>
        <w:tc>
          <w:tcPr>
            <w:tcW w:w="865" w:type="dxa"/>
            <w:tcBorders>
              <w:bottom w:val="single" w:sz="4" w:space="0" w:color="auto"/>
            </w:tcBorders>
            <w:shd w:val="clear" w:color="auto" w:fill="auto"/>
            <w:vAlign w:val="center"/>
          </w:tcPr>
          <w:p w14:paraId="25972036" w14:textId="77777777" w:rsidR="00291C18" w:rsidRPr="00AF0E2E" w:rsidRDefault="00291C18" w:rsidP="00404E8C">
            <w:pPr>
              <w:rPr>
                <w:rFonts w:cs="Times New Roman"/>
                <w:sz w:val="22"/>
                <w:szCs w:val="22"/>
              </w:rPr>
            </w:pPr>
          </w:p>
        </w:tc>
      </w:tr>
      <w:tr w:rsidR="00291C18" w:rsidRPr="00D80090" w14:paraId="4CDF85B7" w14:textId="77777777" w:rsidTr="00404E8C">
        <w:trPr>
          <w:trHeight w:val="791"/>
          <w:jc w:val="center"/>
        </w:trPr>
        <w:tc>
          <w:tcPr>
            <w:tcW w:w="5945" w:type="dxa"/>
            <w:tcBorders>
              <w:bottom w:val="single" w:sz="4" w:space="0" w:color="auto"/>
            </w:tcBorders>
            <w:shd w:val="clear" w:color="auto" w:fill="auto"/>
            <w:vAlign w:val="center"/>
          </w:tcPr>
          <w:p w14:paraId="026F16B3" w14:textId="77777777" w:rsidR="00291C18" w:rsidRPr="007259A9" w:rsidRDefault="00291C18" w:rsidP="00404E8C">
            <w:pPr>
              <w:pStyle w:val="ListParagraph"/>
              <w:widowControl w:val="0"/>
              <w:ind w:left="0"/>
              <w:contextualSpacing w:val="0"/>
              <w:jc w:val="both"/>
              <w:rPr>
                <w:rFonts w:cs="Times New Roman"/>
                <w:b/>
                <w:i/>
                <w:sz w:val="22"/>
                <w:szCs w:val="22"/>
              </w:rPr>
            </w:pPr>
            <w:r w:rsidRPr="007259A9">
              <w:rPr>
                <w:rFonts w:cs="Times New Roman"/>
                <w:sz w:val="22"/>
                <w:szCs w:val="22"/>
              </w:rPr>
              <w:t>Ensure the effective supervision of the government se</w:t>
            </w:r>
            <w:r>
              <w:rPr>
                <w:rFonts w:cs="Times New Roman"/>
                <w:sz w:val="22"/>
                <w:szCs w:val="22"/>
              </w:rPr>
              <w:t xml:space="preserve">curities market, </w:t>
            </w:r>
            <w:r w:rsidRPr="007259A9">
              <w:rPr>
                <w:rFonts w:cs="Times New Roman"/>
                <w:sz w:val="22"/>
                <w:szCs w:val="22"/>
              </w:rPr>
              <w:t>whereby all market participants subject to the same standards and conventions.</w:t>
            </w:r>
            <w:r>
              <w:rPr>
                <w:rFonts w:cs="Times New Roman"/>
                <w:sz w:val="22"/>
                <w:szCs w:val="22"/>
              </w:rPr>
              <w:t xml:space="preserve"> </w:t>
            </w:r>
            <w:r w:rsidRPr="007259A9">
              <w:rPr>
                <w:rFonts w:cs="Times New Roman"/>
                <w:b/>
                <w:i/>
                <w:sz w:val="22"/>
                <w:szCs w:val="22"/>
              </w:rPr>
              <w:t>(BPNG)</w:t>
            </w:r>
          </w:p>
        </w:tc>
        <w:tc>
          <w:tcPr>
            <w:tcW w:w="1117" w:type="dxa"/>
            <w:tcBorders>
              <w:bottom w:val="single" w:sz="4" w:space="0" w:color="auto"/>
            </w:tcBorders>
            <w:shd w:val="clear" w:color="auto" w:fill="auto"/>
            <w:vAlign w:val="center"/>
          </w:tcPr>
          <w:p w14:paraId="7AC67FDB" w14:textId="77777777" w:rsidR="00291C18" w:rsidRPr="007259A9" w:rsidRDefault="00291C18" w:rsidP="00404E8C">
            <w:pPr>
              <w:jc w:val="center"/>
              <w:rPr>
                <w:rFonts w:cs="Times New Roman"/>
                <w:b/>
              </w:rPr>
            </w:pPr>
            <w:r>
              <w:rPr>
                <w:rFonts w:cs="Times New Roman"/>
                <w:b/>
              </w:rPr>
              <w:t>M</w:t>
            </w:r>
          </w:p>
        </w:tc>
        <w:tc>
          <w:tcPr>
            <w:tcW w:w="1055" w:type="dxa"/>
            <w:tcBorders>
              <w:bottom w:val="single" w:sz="4" w:space="0" w:color="auto"/>
            </w:tcBorders>
            <w:shd w:val="clear" w:color="auto" w:fill="auto"/>
            <w:vAlign w:val="center"/>
          </w:tcPr>
          <w:p w14:paraId="2C23E28F" w14:textId="77777777" w:rsidR="00291C18" w:rsidRPr="007259A9" w:rsidRDefault="00291C18" w:rsidP="00404E8C">
            <w:pPr>
              <w:jc w:val="center"/>
              <w:rPr>
                <w:rFonts w:cs="Times New Roman"/>
                <w:b/>
              </w:rPr>
            </w:pPr>
            <w:r>
              <w:rPr>
                <w:rFonts w:cs="Times New Roman"/>
                <w:b/>
              </w:rPr>
              <w:t>MT</w:t>
            </w:r>
          </w:p>
        </w:tc>
        <w:tc>
          <w:tcPr>
            <w:tcW w:w="865" w:type="dxa"/>
            <w:tcBorders>
              <w:bottom w:val="single" w:sz="4" w:space="0" w:color="auto"/>
            </w:tcBorders>
            <w:shd w:val="clear" w:color="auto" w:fill="auto"/>
            <w:vAlign w:val="center"/>
          </w:tcPr>
          <w:p w14:paraId="77B74503" w14:textId="77777777" w:rsidR="00291C18" w:rsidRPr="00AF0E2E" w:rsidRDefault="00291C18" w:rsidP="00404E8C">
            <w:pPr>
              <w:rPr>
                <w:rFonts w:cs="Times New Roman"/>
                <w:sz w:val="22"/>
                <w:szCs w:val="22"/>
              </w:rPr>
            </w:pPr>
          </w:p>
        </w:tc>
      </w:tr>
      <w:tr w:rsidR="00291C18" w:rsidRPr="00D80090" w14:paraId="10432867" w14:textId="77777777" w:rsidTr="00404E8C">
        <w:trPr>
          <w:jc w:val="center"/>
        </w:trPr>
        <w:tc>
          <w:tcPr>
            <w:tcW w:w="5945" w:type="dxa"/>
            <w:tcBorders>
              <w:bottom w:val="single" w:sz="4" w:space="0" w:color="auto"/>
            </w:tcBorders>
            <w:shd w:val="clear" w:color="auto" w:fill="E0E0E0"/>
            <w:vAlign w:val="center"/>
          </w:tcPr>
          <w:p w14:paraId="3619A09D" w14:textId="77777777" w:rsidR="00291C18" w:rsidRPr="00AF0E2E" w:rsidRDefault="00291C18" w:rsidP="00404E8C">
            <w:pPr>
              <w:rPr>
                <w:rFonts w:cs="Times New Roman"/>
                <w:b/>
                <w:sz w:val="22"/>
                <w:szCs w:val="22"/>
              </w:rPr>
            </w:pPr>
            <w:r w:rsidRPr="00AF0E2E">
              <w:rPr>
                <w:rFonts w:cs="Times New Roman"/>
                <w:b/>
                <w:sz w:val="22"/>
                <w:szCs w:val="22"/>
              </w:rPr>
              <w:t>Public Debt Management Strategy</w:t>
            </w:r>
          </w:p>
        </w:tc>
        <w:tc>
          <w:tcPr>
            <w:tcW w:w="1117" w:type="dxa"/>
            <w:tcBorders>
              <w:bottom w:val="single" w:sz="4" w:space="0" w:color="auto"/>
            </w:tcBorders>
            <w:shd w:val="clear" w:color="auto" w:fill="E0E0E0"/>
            <w:vAlign w:val="center"/>
          </w:tcPr>
          <w:p w14:paraId="1033666E" w14:textId="77777777" w:rsidR="00291C18" w:rsidRPr="007259A9" w:rsidRDefault="00291C18" w:rsidP="00404E8C">
            <w:pPr>
              <w:jc w:val="center"/>
              <w:rPr>
                <w:rFonts w:cs="Times New Roman"/>
                <w:b/>
              </w:rPr>
            </w:pPr>
          </w:p>
        </w:tc>
        <w:tc>
          <w:tcPr>
            <w:tcW w:w="1055" w:type="dxa"/>
            <w:tcBorders>
              <w:bottom w:val="single" w:sz="4" w:space="0" w:color="auto"/>
            </w:tcBorders>
            <w:shd w:val="clear" w:color="auto" w:fill="E0E0E0"/>
            <w:vAlign w:val="center"/>
          </w:tcPr>
          <w:p w14:paraId="1EED30B4" w14:textId="77777777" w:rsidR="00291C18" w:rsidRPr="007259A9" w:rsidRDefault="00291C18" w:rsidP="00404E8C">
            <w:pPr>
              <w:jc w:val="center"/>
              <w:rPr>
                <w:rFonts w:cs="Times New Roman"/>
                <w:b/>
              </w:rPr>
            </w:pPr>
          </w:p>
        </w:tc>
        <w:tc>
          <w:tcPr>
            <w:tcW w:w="865" w:type="dxa"/>
            <w:tcBorders>
              <w:bottom w:val="single" w:sz="4" w:space="0" w:color="auto"/>
            </w:tcBorders>
            <w:shd w:val="clear" w:color="auto" w:fill="E0E0E0"/>
            <w:vAlign w:val="center"/>
          </w:tcPr>
          <w:p w14:paraId="0C721959" w14:textId="77777777" w:rsidR="00291C18" w:rsidRPr="00AF0E2E" w:rsidRDefault="00291C18" w:rsidP="00404E8C">
            <w:pPr>
              <w:rPr>
                <w:rFonts w:cs="Times New Roman"/>
                <w:sz w:val="22"/>
                <w:szCs w:val="22"/>
              </w:rPr>
            </w:pPr>
          </w:p>
        </w:tc>
      </w:tr>
      <w:tr w:rsidR="00291C18" w:rsidRPr="00D80090" w14:paraId="57395C8E" w14:textId="77777777" w:rsidTr="00404E8C">
        <w:trPr>
          <w:jc w:val="center"/>
        </w:trPr>
        <w:tc>
          <w:tcPr>
            <w:tcW w:w="5945" w:type="dxa"/>
            <w:shd w:val="clear" w:color="auto" w:fill="auto"/>
            <w:vAlign w:val="center"/>
          </w:tcPr>
          <w:p w14:paraId="7B71AC50" w14:textId="77777777" w:rsidR="00291C18" w:rsidRPr="00AF0E2E" w:rsidRDefault="00291C18" w:rsidP="00404E8C">
            <w:pPr>
              <w:jc w:val="both"/>
              <w:rPr>
                <w:rFonts w:cs="Times New Roman"/>
                <w:sz w:val="22"/>
                <w:szCs w:val="22"/>
              </w:rPr>
            </w:pPr>
            <w:r>
              <w:rPr>
                <w:rFonts w:cs="Times New Roman"/>
                <w:sz w:val="22"/>
                <w:szCs w:val="22"/>
              </w:rPr>
              <w:t>D</w:t>
            </w:r>
            <w:r w:rsidRPr="0001188F">
              <w:rPr>
                <w:rFonts w:cs="Times New Roman"/>
                <w:sz w:val="22"/>
                <w:szCs w:val="22"/>
              </w:rPr>
              <w:t>evelop and adopt a MTDS policy to proactively manage refinancing and liquidity risks</w:t>
            </w:r>
            <w:r>
              <w:rPr>
                <w:rFonts w:cs="Times New Roman"/>
                <w:sz w:val="22"/>
                <w:szCs w:val="22"/>
              </w:rPr>
              <w:t xml:space="preserve">: Buybacks; Switches; Cash Buffer. Market consideration and communication is needed. </w:t>
            </w:r>
            <w:r>
              <w:rPr>
                <w:rFonts w:cs="Times New Roman"/>
                <w:b/>
                <w:i/>
                <w:sz w:val="22"/>
                <w:szCs w:val="22"/>
              </w:rPr>
              <w:t>(FMD,</w:t>
            </w:r>
            <w:r w:rsidRPr="007259A9">
              <w:rPr>
                <w:rFonts w:cs="Times New Roman"/>
                <w:b/>
                <w:i/>
                <w:sz w:val="22"/>
                <w:szCs w:val="22"/>
              </w:rPr>
              <w:t xml:space="preserve"> Treasury</w:t>
            </w:r>
            <w:r>
              <w:rPr>
                <w:rFonts w:cs="Times New Roman"/>
                <w:b/>
                <w:i/>
                <w:sz w:val="22"/>
                <w:szCs w:val="22"/>
              </w:rPr>
              <w:t>, BPNG</w:t>
            </w:r>
            <w:r w:rsidRPr="007259A9">
              <w:rPr>
                <w:rFonts w:cs="Times New Roman"/>
                <w:b/>
                <w:i/>
                <w:sz w:val="22"/>
                <w:szCs w:val="22"/>
              </w:rPr>
              <w:t>)</w:t>
            </w:r>
          </w:p>
        </w:tc>
        <w:tc>
          <w:tcPr>
            <w:tcW w:w="1117" w:type="dxa"/>
            <w:shd w:val="clear" w:color="auto" w:fill="auto"/>
            <w:vAlign w:val="center"/>
          </w:tcPr>
          <w:p w14:paraId="52EC8268" w14:textId="77777777" w:rsidR="00291C18" w:rsidRPr="007259A9" w:rsidRDefault="00291C18" w:rsidP="00404E8C">
            <w:pPr>
              <w:jc w:val="center"/>
              <w:rPr>
                <w:rFonts w:cs="Times New Roman"/>
                <w:b/>
              </w:rPr>
            </w:pPr>
            <w:r>
              <w:rPr>
                <w:rFonts w:cs="Times New Roman"/>
                <w:b/>
              </w:rPr>
              <w:t>H</w:t>
            </w:r>
          </w:p>
        </w:tc>
        <w:tc>
          <w:tcPr>
            <w:tcW w:w="1055" w:type="dxa"/>
            <w:shd w:val="clear" w:color="auto" w:fill="auto"/>
            <w:vAlign w:val="center"/>
          </w:tcPr>
          <w:p w14:paraId="5653A7AC" w14:textId="77777777" w:rsidR="00291C18" w:rsidRPr="007259A9" w:rsidRDefault="00291C18" w:rsidP="00404E8C">
            <w:pPr>
              <w:jc w:val="center"/>
              <w:rPr>
                <w:rFonts w:cs="Times New Roman"/>
                <w:b/>
              </w:rPr>
            </w:pPr>
            <w:r>
              <w:rPr>
                <w:rFonts w:cs="Times New Roman"/>
                <w:b/>
              </w:rPr>
              <w:t>ST</w:t>
            </w:r>
          </w:p>
        </w:tc>
        <w:tc>
          <w:tcPr>
            <w:tcW w:w="865" w:type="dxa"/>
            <w:shd w:val="clear" w:color="auto" w:fill="auto"/>
            <w:vAlign w:val="center"/>
          </w:tcPr>
          <w:p w14:paraId="62544DCB" w14:textId="77777777" w:rsidR="00291C18" w:rsidRPr="00AF0E2E" w:rsidRDefault="00291C18" w:rsidP="00404E8C">
            <w:pPr>
              <w:rPr>
                <w:rFonts w:cs="Times New Roman"/>
                <w:sz w:val="22"/>
                <w:szCs w:val="22"/>
              </w:rPr>
            </w:pPr>
          </w:p>
        </w:tc>
      </w:tr>
      <w:tr w:rsidR="00291C18" w:rsidRPr="00D80090" w14:paraId="7617E632" w14:textId="77777777" w:rsidTr="00404E8C">
        <w:trPr>
          <w:jc w:val="center"/>
        </w:trPr>
        <w:tc>
          <w:tcPr>
            <w:tcW w:w="5945" w:type="dxa"/>
            <w:shd w:val="clear" w:color="auto" w:fill="auto"/>
            <w:vAlign w:val="center"/>
          </w:tcPr>
          <w:p w14:paraId="4EA09E6F" w14:textId="3F309B42" w:rsidR="00291C18" w:rsidRPr="007259A9" w:rsidRDefault="00291C18" w:rsidP="00404E8C">
            <w:pPr>
              <w:jc w:val="both"/>
              <w:rPr>
                <w:rFonts w:cs="Times New Roman"/>
                <w:sz w:val="22"/>
                <w:szCs w:val="22"/>
              </w:rPr>
            </w:pPr>
            <w:r w:rsidRPr="007259A9">
              <w:rPr>
                <w:rFonts w:cs="Times New Roman"/>
                <w:sz w:val="22"/>
                <w:szCs w:val="22"/>
              </w:rPr>
              <w:t>Prioritize the issuance of an external bond in the international capital markets as a new source of fund raising to meet the government’s financing needs and or project finance.</w:t>
            </w:r>
            <w:r w:rsidRPr="0001188F">
              <w:rPr>
                <w:rFonts w:cs="Times New Roman"/>
                <w:sz w:val="22"/>
                <w:szCs w:val="22"/>
              </w:rPr>
              <w:t xml:space="preserve"> State the rationale in MTDS. </w:t>
            </w:r>
            <w:r w:rsidR="003F44A4">
              <w:rPr>
                <w:rFonts w:cs="Times New Roman"/>
                <w:b/>
                <w:i/>
                <w:sz w:val="22"/>
                <w:szCs w:val="22"/>
              </w:rPr>
              <w:t xml:space="preserve">(FMD, </w:t>
            </w:r>
            <w:r w:rsidRPr="007259A9">
              <w:rPr>
                <w:rFonts w:cs="Times New Roman"/>
                <w:b/>
                <w:i/>
                <w:sz w:val="22"/>
                <w:szCs w:val="22"/>
              </w:rPr>
              <w:t>Treasury</w:t>
            </w:r>
            <w:r w:rsidR="003F44A4">
              <w:rPr>
                <w:rFonts w:cs="Times New Roman"/>
                <w:b/>
                <w:i/>
                <w:sz w:val="22"/>
                <w:szCs w:val="22"/>
              </w:rPr>
              <w:t>, &amp; BPNG</w:t>
            </w:r>
            <w:r w:rsidRPr="007259A9">
              <w:rPr>
                <w:rFonts w:cs="Times New Roman"/>
                <w:b/>
                <w:i/>
                <w:sz w:val="22"/>
                <w:szCs w:val="22"/>
              </w:rPr>
              <w:t>)</w:t>
            </w:r>
          </w:p>
        </w:tc>
        <w:tc>
          <w:tcPr>
            <w:tcW w:w="1117" w:type="dxa"/>
            <w:shd w:val="clear" w:color="auto" w:fill="auto"/>
            <w:vAlign w:val="center"/>
          </w:tcPr>
          <w:p w14:paraId="02EAE2EB" w14:textId="77777777" w:rsidR="00291C18" w:rsidRDefault="00291C18" w:rsidP="00404E8C">
            <w:pPr>
              <w:jc w:val="center"/>
              <w:rPr>
                <w:rFonts w:cs="Times New Roman"/>
                <w:b/>
              </w:rPr>
            </w:pPr>
            <w:r>
              <w:rPr>
                <w:rFonts w:cs="Times New Roman"/>
                <w:b/>
              </w:rPr>
              <w:t>H</w:t>
            </w:r>
          </w:p>
        </w:tc>
        <w:tc>
          <w:tcPr>
            <w:tcW w:w="1055" w:type="dxa"/>
            <w:shd w:val="clear" w:color="auto" w:fill="auto"/>
            <w:vAlign w:val="center"/>
          </w:tcPr>
          <w:p w14:paraId="080FF5A4" w14:textId="77777777" w:rsidR="00291C18" w:rsidRDefault="00291C18" w:rsidP="00404E8C">
            <w:pPr>
              <w:jc w:val="center"/>
              <w:rPr>
                <w:rFonts w:cs="Times New Roman"/>
                <w:b/>
              </w:rPr>
            </w:pPr>
          </w:p>
          <w:p w14:paraId="674F44C2" w14:textId="77777777" w:rsidR="00291C18" w:rsidRDefault="00291C18" w:rsidP="00404E8C">
            <w:pPr>
              <w:jc w:val="center"/>
              <w:rPr>
                <w:rFonts w:cs="Times New Roman"/>
                <w:b/>
              </w:rPr>
            </w:pPr>
            <w:r>
              <w:rPr>
                <w:rFonts w:cs="Times New Roman"/>
                <w:b/>
              </w:rPr>
              <w:t>ST</w:t>
            </w:r>
          </w:p>
          <w:p w14:paraId="670DAF71" w14:textId="77777777" w:rsidR="00291C18" w:rsidRDefault="00291C18" w:rsidP="00404E8C">
            <w:pPr>
              <w:rPr>
                <w:rFonts w:cs="Times New Roman"/>
                <w:b/>
              </w:rPr>
            </w:pPr>
          </w:p>
        </w:tc>
        <w:tc>
          <w:tcPr>
            <w:tcW w:w="865" w:type="dxa"/>
            <w:shd w:val="clear" w:color="auto" w:fill="auto"/>
            <w:vAlign w:val="center"/>
          </w:tcPr>
          <w:p w14:paraId="13105EF7" w14:textId="77777777" w:rsidR="00291C18" w:rsidRPr="00AF0E2E" w:rsidRDefault="00291C18" w:rsidP="00404E8C">
            <w:pPr>
              <w:rPr>
                <w:rFonts w:cs="Times New Roman"/>
                <w:sz w:val="22"/>
                <w:szCs w:val="22"/>
              </w:rPr>
            </w:pPr>
          </w:p>
        </w:tc>
      </w:tr>
      <w:tr w:rsidR="00291C18" w:rsidRPr="00D80090" w14:paraId="7D7A67FD" w14:textId="77777777" w:rsidTr="00404E8C">
        <w:trPr>
          <w:jc w:val="center"/>
        </w:trPr>
        <w:tc>
          <w:tcPr>
            <w:tcW w:w="5945" w:type="dxa"/>
            <w:shd w:val="clear" w:color="auto" w:fill="auto"/>
            <w:vAlign w:val="center"/>
          </w:tcPr>
          <w:p w14:paraId="0DE6FC69" w14:textId="77777777" w:rsidR="00291C18" w:rsidRPr="00AF0E2E" w:rsidRDefault="00291C18" w:rsidP="00404E8C">
            <w:pPr>
              <w:rPr>
                <w:rFonts w:cs="Times New Roman"/>
                <w:sz w:val="22"/>
                <w:szCs w:val="22"/>
              </w:rPr>
            </w:pPr>
            <w:r>
              <w:rPr>
                <w:rFonts w:cs="Times New Roman"/>
                <w:sz w:val="22"/>
                <w:szCs w:val="22"/>
              </w:rPr>
              <w:t xml:space="preserve">Reweight the domestic composition of T-bills &amp; GIS. </w:t>
            </w:r>
            <w:r w:rsidRPr="0001188F">
              <w:rPr>
                <w:rFonts w:cs="Times New Roman"/>
                <w:b/>
                <w:i/>
                <w:sz w:val="22"/>
                <w:szCs w:val="22"/>
              </w:rPr>
              <w:t>(FMD)</w:t>
            </w:r>
          </w:p>
        </w:tc>
        <w:tc>
          <w:tcPr>
            <w:tcW w:w="1117" w:type="dxa"/>
            <w:shd w:val="clear" w:color="auto" w:fill="auto"/>
            <w:vAlign w:val="center"/>
          </w:tcPr>
          <w:p w14:paraId="716DFF84" w14:textId="77777777" w:rsidR="00291C18" w:rsidRPr="007259A9" w:rsidRDefault="00291C18" w:rsidP="00404E8C">
            <w:pPr>
              <w:jc w:val="center"/>
              <w:rPr>
                <w:rFonts w:cs="Times New Roman"/>
                <w:b/>
              </w:rPr>
            </w:pPr>
            <w:r>
              <w:rPr>
                <w:rFonts w:cs="Times New Roman"/>
                <w:b/>
              </w:rPr>
              <w:t>H</w:t>
            </w:r>
          </w:p>
        </w:tc>
        <w:tc>
          <w:tcPr>
            <w:tcW w:w="1055" w:type="dxa"/>
            <w:shd w:val="clear" w:color="auto" w:fill="auto"/>
            <w:vAlign w:val="center"/>
          </w:tcPr>
          <w:p w14:paraId="23F04DB6" w14:textId="77777777" w:rsidR="00291C18" w:rsidRPr="007259A9" w:rsidRDefault="00291C18" w:rsidP="00404E8C">
            <w:pPr>
              <w:jc w:val="center"/>
              <w:rPr>
                <w:rFonts w:cs="Times New Roman"/>
                <w:b/>
              </w:rPr>
            </w:pPr>
            <w:r>
              <w:rPr>
                <w:rFonts w:cs="Times New Roman"/>
                <w:b/>
              </w:rPr>
              <w:t>ST</w:t>
            </w:r>
          </w:p>
        </w:tc>
        <w:tc>
          <w:tcPr>
            <w:tcW w:w="865" w:type="dxa"/>
            <w:shd w:val="clear" w:color="auto" w:fill="auto"/>
            <w:vAlign w:val="center"/>
          </w:tcPr>
          <w:p w14:paraId="54E2022D" w14:textId="77777777" w:rsidR="00291C18" w:rsidRPr="00AF0E2E" w:rsidRDefault="00291C18" w:rsidP="00404E8C">
            <w:pPr>
              <w:rPr>
                <w:rFonts w:cs="Times New Roman"/>
                <w:sz w:val="22"/>
                <w:szCs w:val="22"/>
              </w:rPr>
            </w:pPr>
          </w:p>
        </w:tc>
      </w:tr>
      <w:tr w:rsidR="00291C18" w:rsidRPr="00D80090" w14:paraId="31B35340" w14:textId="77777777" w:rsidTr="00404E8C">
        <w:trPr>
          <w:jc w:val="center"/>
        </w:trPr>
        <w:tc>
          <w:tcPr>
            <w:tcW w:w="5945" w:type="dxa"/>
            <w:shd w:val="clear" w:color="auto" w:fill="auto"/>
            <w:vAlign w:val="center"/>
          </w:tcPr>
          <w:p w14:paraId="5BF44779" w14:textId="77777777" w:rsidR="00291C18" w:rsidRPr="00AF0E2E" w:rsidRDefault="00291C18" w:rsidP="00404E8C">
            <w:pPr>
              <w:jc w:val="both"/>
              <w:rPr>
                <w:rFonts w:cs="Times New Roman"/>
                <w:sz w:val="22"/>
                <w:szCs w:val="22"/>
              </w:rPr>
            </w:pPr>
            <w:r>
              <w:rPr>
                <w:rFonts w:cs="Times New Roman"/>
                <w:sz w:val="22"/>
                <w:szCs w:val="22"/>
              </w:rPr>
              <w:t xml:space="preserve">Implementation progress of the MTDS should be monitored and reported as well as macroeconomic conditions requiring a strategy shift. </w:t>
            </w:r>
            <w:r w:rsidRPr="0001188F">
              <w:rPr>
                <w:rFonts w:cs="Times New Roman"/>
                <w:b/>
                <w:i/>
                <w:sz w:val="22"/>
                <w:szCs w:val="22"/>
              </w:rPr>
              <w:t>(FMD</w:t>
            </w:r>
            <w:r>
              <w:rPr>
                <w:rFonts w:cs="Times New Roman"/>
                <w:b/>
                <w:i/>
                <w:sz w:val="22"/>
                <w:szCs w:val="22"/>
              </w:rPr>
              <w:t xml:space="preserve"> &amp; Treasury</w:t>
            </w:r>
            <w:r w:rsidRPr="0001188F">
              <w:rPr>
                <w:rFonts w:cs="Times New Roman"/>
                <w:b/>
                <w:i/>
                <w:sz w:val="22"/>
                <w:szCs w:val="22"/>
              </w:rPr>
              <w:t>)</w:t>
            </w:r>
          </w:p>
        </w:tc>
        <w:tc>
          <w:tcPr>
            <w:tcW w:w="1117" w:type="dxa"/>
            <w:shd w:val="clear" w:color="auto" w:fill="auto"/>
            <w:vAlign w:val="center"/>
          </w:tcPr>
          <w:p w14:paraId="4566E2D2" w14:textId="77777777" w:rsidR="00291C18" w:rsidRPr="007259A9" w:rsidRDefault="00291C18" w:rsidP="00404E8C">
            <w:pPr>
              <w:jc w:val="center"/>
              <w:rPr>
                <w:rFonts w:cs="Times New Roman"/>
                <w:b/>
              </w:rPr>
            </w:pPr>
            <w:r>
              <w:rPr>
                <w:rFonts w:cs="Times New Roman"/>
                <w:b/>
              </w:rPr>
              <w:t>M</w:t>
            </w:r>
          </w:p>
        </w:tc>
        <w:tc>
          <w:tcPr>
            <w:tcW w:w="1055" w:type="dxa"/>
            <w:shd w:val="clear" w:color="auto" w:fill="auto"/>
            <w:vAlign w:val="center"/>
          </w:tcPr>
          <w:p w14:paraId="1718616B" w14:textId="77777777" w:rsidR="00291C18" w:rsidRDefault="00291C18" w:rsidP="00404E8C">
            <w:pPr>
              <w:jc w:val="center"/>
              <w:rPr>
                <w:rFonts w:cs="Times New Roman"/>
                <w:b/>
              </w:rPr>
            </w:pPr>
            <w:r>
              <w:rPr>
                <w:rFonts w:cs="Times New Roman"/>
                <w:b/>
              </w:rPr>
              <w:t>MT</w:t>
            </w:r>
          </w:p>
          <w:p w14:paraId="1D5DF228" w14:textId="77777777" w:rsidR="00291C18" w:rsidRPr="007259A9" w:rsidRDefault="00291C18" w:rsidP="00404E8C">
            <w:pPr>
              <w:jc w:val="center"/>
              <w:rPr>
                <w:rFonts w:cs="Times New Roman"/>
                <w:b/>
              </w:rPr>
            </w:pPr>
            <w:r>
              <w:rPr>
                <w:rFonts w:cs="Times New Roman"/>
                <w:b/>
              </w:rPr>
              <w:t>LT</w:t>
            </w:r>
          </w:p>
        </w:tc>
        <w:tc>
          <w:tcPr>
            <w:tcW w:w="865" w:type="dxa"/>
            <w:shd w:val="clear" w:color="auto" w:fill="auto"/>
            <w:vAlign w:val="center"/>
          </w:tcPr>
          <w:p w14:paraId="381FA96C" w14:textId="77777777" w:rsidR="00291C18" w:rsidRPr="00AF0E2E" w:rsidRDefault="00291C18" w:rsidP="00404E8C">
            <w:pPr>
              <w:rPr>
                <w:rFonts w:cs="Times New Roman"/>
                <w:sz w:val="22"/>
                <w:szCs w:val="22"/>
              </w:rPr>
            </w:pPr>
          </w:p>
        </w:tc>
      </w:tr>
      <w:tr w:rsidR="00291C18" w:rsidRPr="00D80090" w14:paraId="0A37402B" w14:textId="77777777" w:rsidTr="00404E8C">
        <w:trPr>
          <w:jc w:val="center"/>
        </w:trPr>
        <w:tc>
          <w:tcPr>
            <w:tcW w:w="5945" w:type="dxa"/>
            <w:tcBorders>
              <w:bottom w:val="single" w:sz="4" w:space="0" w:color="auto"/>
            </w:tcBorders>
            <w:shd w:val="clear" w:color="auto" w:fill="auto"/>
            <w:vAlign w:val="center"/>
          </w:tcPr>
          <w:p w14:paraId="478D8EDF" w14:textId="77777777" w:rsidR="00291C18" w:rsidRPr="00AF0E2E" w:rsidRDefault="00291C18" w:rsidP="00404E8C">
            <w:pPr>
              <w:jc w:val="both"/>
              <w:rPr>
                <w:rFonts w:cs="Times New Roman"/>
                <w:sz w:val="22"/>
                <w:szCs w:val="22"/>
              </w:rPr>
            </w:pPr>
            <w:r>
              <w:rPr>
                <w:rFonts w:cs="Times New Roman"/>
                <w:sz w:val="22"/>
                <w:szCs w:val="22"/>
              </w:rPr>
              <w:t xml:space="preserve">MTDS published with public debt portfolio data, objectives, arrangement, risk management, &amp; market communication. </w:t>
            </w:r>
            <w:r w:rsidRPr="007259A9">
              <w:rPr>
                <w:rFonts w:cs="Times New Roman"/>
                <w:b/>
                <w:i/>
                <w:sz w:val="22"/>
                <w:szCs w:val="22"/>
              </w:rPr>
              <w:t>(FMD &amp; Treasury)</w:t>
            </w:r>
          </w:p>
        </w:tc>
        <w:tc>
          <w:tcPr>
            <w:tcW w:w="1117" w:type="dxa"/>
            <w:tcBorders>
              <w:bottom w:val="single" w:sz="4" w:space="0" w:color="auto"/>
            </w:tcBorders>
            <w:shd w:val="clear" w:color="auto" w:fill="auto"/>
            <w:vAlign w:val="center"/>
          </w:tcPr>
          <w:p w14:paraId="1CAEEBF0" w14:textId="77777777" w:rsidR="00291C18" w:rsidRPr="007259A9" w:rsidRDefault="00291C18" w:rsidP="00404E8C">
            <w:pPr>
              <w:jc w:val="center"/>
              <w:rPr>
                <w:rFonts w:cs="Times New Roman"/>
                <w:b/>
              </w:rPr>
            </w:pPr>
            <w:r>
              <w:rPr>
                <w:rFonts w:cs="Times New Roman"/>
                <w:b/>
              </w:rPr>
              <w:t>L</w:t>
            </w:r>
          </w:p>
        </w:tc>
        <w:tc>
          <w:tcPr>
            <w:tcW w:w="1055" w:type="dxa"/>
            <w:tcBorders>
              <w:bottom w:val="single" w:sz="4" w:space="0" w:color="auto"/>
            </w:tcBorders>
            <w:shd w:val="clear" w:color="auto" w:fill="auto"/>
            <w:vAlign w:val="center"/>
          </w:tcPr>
          <w:p w14:paraId="7D9E1161" w14:textId="77777777" w:rsidR="00291C18" w:rsidRPr="007259A9" w:rsidRDefault="00291C18" w:rsidP="00404E8C">
            <w:pPr>
              <w:jc w:val="center"/>
              <w:rPr>
                <w:rFonts w:cs="Times New Roman"/>
                <w:b/>
              </w:rPr>
            </w:pPr>
            <w:r>
              <w:rPr>
                <w:rFonts w:cs="Times New Roman"/>
                <w:b/>
              </w:rPr>
              <w:t>MT</w:t>
            </w:r>
          </w:p>
        </w:tc>
        <w:tc>
          <w:tcPr>
            <w:tcW w:w="865" w:type="dxa"/>
            <w:tcBorders>
              <w:bottom w:val="single" w:sz="4" w:space="0" w:color="auto"/>
            </w:tcBorders>
            <w:shd w:val="clear" w:color="auto" w:fill="auto"/>
            <w:vAlign w:val="center"/>
          </w:tcPr>
          <w:p w14:paraId="340DA31C" w14:textId="77777777" w:rsidR="00291C18" w:rsidRPr="00AF0E2E" w:rsidRDefault="00291C18" w:rsidP="00404E8C">
            <w:pPr>
              <w:rPr>
                <w:rFonts w:cs="Times New Roman"/>
                <w:sz w:val="22"/>
                <w:szCs w:val="22"/>
              </w:rPr>
            </w:pPr>
          </w:p>
        </w:tc>
      </w:tr>
      <w:tr w:rsidR="00291C18" w:rsidRPr="00071DD2" w14:paraId="77974456" w14:textId="77777777" w:rsidTr="00404E8C">
        <w:trPr>
          <w:jc w:val="center"/>
        </w:trPr>
        <w:tc>
          <w:tcPr>
            <w:tcW w:w="5945" w:type="dxa"/>
            <w:tcBorders>
              <w:bottom w:val="single" w:sz="4" w:space="0" w:color="auto"/>
            </w:tcBorders>
            <w:shd w:val="clear" w:color="auto" w:fill="E0E0E0"/>
            <w:vAlign w:val="center"/>
          </w:tcPr>
          <w:p w14:paraId="04A560AE" w14:textId="77777777" w:rsidR="00291C18" w:rsidRPr="00AF0E2E" w:rsidRDefault="00291C18" w:rsidP="00404E8C">
            <w:pPr>
              <w:rPr>
                <w:rFonts w:cs="Times New Roman"/>
                <w:b/>
                <w:sz w:val="22"/>
                <w:szCs w:val="22"/>
              </w:rPr>
            </w:pPr>
            <w:r w:rsidRPr="00AF0E2E">
              <w:rPr>
                <w:rFonts w:cs="Times New Roman"/>
                <w:b/>
                <w:sz w:val="22"/>
                <w:szCs w:val="22"/>
              </w:rPr>
              <w:t>Institutional Arrangements &amp; Market Communication</w:t>
            </w:r>
          </w:p>
        </w:tc>
        <w:tc>
          <w:tcPr>
            <w:tcW w:w="1117" w:type="dxa"/>
            <w:tcBorders>
              <w:bottom w:val="single" w:sz="4" w:space="0" w:color="auto"/>
            </w:tcBorders>
            <w:shd w:val="clear" w:color="auto" w:fill="E0E0E0"/>
            <w:vAlign w:val="center"/>
          </w:tcPr>
          <w:p w14:paraId="577AA962" w14:textId="77777777" w:rsidR="00291C18" w:rsidRPr="007259A9" w:rsidRDefault="00291C18" w:rsidP="00404E8C">
            <w:pPr>
              <w:jc w:val="center"/>
              <w:rPr>
                <w:rFonts w:cs="Times New Roman"/>
                <w:b/>
              </w:rPr>
            </w:pPr>
          </w:p>
        </w:tc>
        <w:tc>
          <w:tcPr>
            <w:tcW w:w="1055" w:type="dxa"/>
            <w:tcBorders>
              <w:bottom w:val="single" w:sz="4" w:space="0" w:color="auto"/>
            </w:tcBorders>
            <w:shd w:val="clear" w:color="auto" w:fill="E0E0E0"/>
            <w:vAlign w:val="center"/>
          </w:tcPr>
          <w:p w14:paraId="17C0FAF5" w14:textId="77777777" w:rsidR="00291C18" w:rsidRPr="007259A9" w:rsidRDefault="00291C18" w:rsidP="00404E8C">
            <w:pPr>
              <w:jc w:val="center"/>
              <w:rPr>
                <w:rFonts w:cs="Times New Roman"/>
                <w:b/>
              </w:rPr>
            </w:pPr>
          </w:p>
        </w:tc>
        <w:tc>
          <w:tcPr>
            <w:tcW w:w="865" w:type="dxa"/>
            <w:tcBorders>
              <w:bottom w:val="single" w:sz="4" w:space="0" w:color="auto"/>
            </w:tcBorders>
            <w:shd w:val="clear" w:color="auto" w:fill="E0E0E0"/>
            <w:vAlign w:val="center"/>
          </w:tcPr>
          <w:p w14:paraId="61684120" w14:textId="77777777" w:rsidR="00291C18" w:rsidRPr="00AF0E2E" w:rsidRDefault="00291C18" w:rsidP="00404E8C">
            <w:pPr>
              <w:rPr>
                <w:rFonts w:cs="Times New Roman"/>
                <w:b/>
                <w:sz w:val="22"/>
                <w:szCs w:val="22"/>
              </w:rPr>
            </w:pPr>
          </w:p>
        </w:tc>
      </w:tr>
      <w:tr w:rsidR="00291C18" w:rsidRPr="00071DD2" w14:paraId="2417F630" w14:textId="77777777" w:rsidTr="00404E8C">
        <w:trPr>
          <w:jc w:val="center"/>
        </w:trPr>
        <w:tc>
          <w:tcPr>
            <w:tcW w:w="5945" w:type="dxa"/>
            <w:shd w:val="clear" w:color="auto" w:fill="auto"/>
            <w:vAlign w:val="center"/>
          </w:tcPr>
          <w:p w14:paraId="01257DAC" w14:textId="77777777" w:rsidR="00291C18" w:rsidRPr="00B11C4E" w:rsidRDefault="00291C18" w:rsidP="00404E8C">
            <w:pPr>
              <w:pStyle w:val="ListParagraph"/>
              <w:widowControl w:val="0"/>
              <w:ind w:left="0"/>
              <w:contextualSpacing w:val="0"/>
              <w:jc w:val="both"/>
              <w:rPr>
                <w:rFonts w:cs="Times New Roman"/>
                <w:b/>
                <w:i/>
                <w:sz w:val="22"/>
                <w:szCs w:val="22"/>
              </w:rPr>
            </w:pPr>
            <w:r w:rsidRPr="00B11C4E">
              <w:rPr>
                <w:rFonts w:cs="Times New Roman"/>
                <w:sz w:val="22"/>
                <w:szCs w:val="22"/>
              </w:rPr>
              <w:t>Semi-annual market dialogue with market participants to discuss the government’s funding plans and domestic government securities development</w:t>
            </w:r>
            <w:r>
              <w:rPr>
                <w:rFonts w:cs="Times New Roman"/>
                <w:sz w:val="22"/>
                <w:szCs w:val="22"/>
              </w:rPr>
              <w:t xml:space="preserve">. </w:t>
            </w:r>
            <w:r w:rsidRPr="00B11C4E">
              <w:rPr>
                <w:rFonts w:cs="Times New Roman"/>
                <w:b/>
                <w:i/>
                <w:sz w:val="22"/>
                <w:szCs w:val="22"/>
              </w:rPr>
              <w:t>(FMD)</w:t>
            </w:r>
          </w:p>
        </w:tc>
        <w:tc>
          <w:tcPr>
            <w:tcW w:w="1117" w:type="dxa"/>
            <w:shd w:val="clear" w:color="auto" w:fill="auto"/>
            <w:vAlign w:val="center"/>
          </w:tcPr>
          <w:p w14:paraId="1652EEA7" w14:textId="77777777" w:rsidR="00291C18" w:rsidRPr="007259A9" w:rsidRDefault="00291C18" w:rsidP="00404E8C">
            <w:pPr>
              <w:jc w:val="center"/>
              <w:rPr>
                <w:rFonts w:cs="Times New Roman"/>
                <w:b/>
              </w:rPr>
            </w:pPr>
            <w:r>
              <w:rPr>
                <w:rFonts w:cs="Times New Roman"/>
                <w:b/>
              </w:rPr>
              <w:t>H</w:t>
            </w:r>
          </w:p>
        </w:tc>
        <w:tc>
          <w:tcPr>
            <w:tcW w:w="1055" w:type="dxa"/>
            <w:shd w:val="clear" w:color="auto" w:fill="auto"/>
            <w:vAlign w:val="center"/>
          </w:tcPr>
          <w:p w14:paraId="069A34DF" w14:textId="77777777" w:rsidR="00291C18" w:rsidRPr="007259A9" w:rsidRDefault="00291C18" w:rsidP="00404E8C">
            <w:pPr>
              <w:jc w:val="center"/>
              <w:rPr>
                <w:rFonts w:cs="Times New Roman"/>
                <w:b/>
              </w:rPr>
            </w:pPr>
            <w:r>
              <w:rPr>
                <w:rFonts w:cs="Times New Roman"/>
                <w:b/>
              </w:rPr>
              <w:t>ST</w:t>
            </w:r>
          </w:p>
        </w:tc>
        <w:tc>
          <w:tcPr>
            <w:tcW w:w="865" w:type="dxa"/>
            <w:shd w:val="clear" w:color="auto" w:fill="auto"/>
            <w:vAlign w:val="center"/>
          </w:tcPr>
          <w:p w14:paraId="64EAF077" w14:textId="77777777" w:rsidR="00291C18" w:rsidRPr="00AF0E2E" w:rsidRDefault="00291C18" w:rsidP="00404E8C">
            <w:pPr>
              <w:rPr>
                <w:rFonts w:cs="Times New Roman"/>
                <w:b/>
                <w:sz w:val="22"/>
                <w:szCs w:val="22"/>
              </w:rPr>
            </w:pPr>
          </w:p>
        </w:tc>
      </w:tr>
      <w:tr w:rsidR="00291C18" w:rsidRPr="00071DD2" w14:paraId="162E2AFE" w14:textId="77777777" w:rsidTr="00404E8C">
        <w:trPr>
          <w:jc w:val="center"/>
        </w:trPr>
        <w:tc>
          <w:tcPr>
            <w:tcW w:w="5945" w:type="dxa"/>
            <w:shd w:val="clear" w:color="auto" w:fill="auto"/>
            <w:vAlign w:val="center"/>
          </w:tcPr>
          <w:p w14:paraId="464C4F47" w14:textId="77777777" w:rsidR="00291C18" w:rsidRPr="00AF0E2E" w:rsidRDefault="00291C18" w:rsidP="00056D87">
            <w:pPr>
              <w:jc w:val="both"/>
              <w:rPr>
                <w:rFonts w:cs="Times New Roman"/>
                <w:sz w:val="22"/>
                <w:szCs w:val="22"/>
              </w:rPr>
            </w:pPr>
            <w:r w:rsidRPr="00AF0E2E">
              <w:rPr>
                <w:rFonts w:cs="Times New Roman"/>
                <w:sz w:val="22"/>
                <w:szCs w:val="22"/>
              </w:rPr>
              <w:t>Establish a Policy Level Domestic Bond Market Development Committee (DBMC)</w:t>
            </w:r>
            <w:r>
              <w:rPr>
                <w:rFonts w:cs="Times New Roman"/>
                <w:sz w:val="22"/>
                <w:szCs w:val="22"/>
              </w:rPr>
              <w:t>.</w:t>
            </w:r>
            <w:r w:rsidRPr="00AF0E2E">
              <w:rPr>
                <w:rFonts w:cs="Times New Roman"/>
                <w:sz w:val="22"/>
                <w:szCs w:val="22"/>
              </w:rPr>
              <w:t xml:space="preserve"> </w:t>
            </w:r>
            <w:r w:rsidRPr="00B11C4E">
              <w:rPr>
                <w:rFonts w:cs="Times New Roman"/>
                <w:b/>
                <w:i/>
                <w:iCs/>
                <w:sz w:val="22"/>
                <w:szCs w:val="22"/>
              </w:rPr>
              <w:t>(Treasury &amp; BPNG)</w:t>
            </w:r>
          </w:p>
        </w:tc>
        <w:tc>
          <w:tcPr>
            <w:tcW w:w="1117" w:type="dxa"/>
            <w:shd w:val="clear" w:color="auto" w:fill="auto"/>
            <w:vAlign w:val="center"/>
          </w:tcPr>
          <w:p w14:paraId="788A2756" w14:textId="77777777" w:rsidR="00291C18" w:rsidRPr="007259A9" w:rsidRDefault="00291C18" w:rsidP="00404E8C">
            <w:pPr>
              <w:jc w:val="center"/>
              <w:rPr>
                <w:rFonts w:cs="Times New Roman"/>
                <w:b/>
              </w:rPr>
            </w:pPr>
            <w:r>
              <w:rPr>
                <w:rFonts w:cs="Times New Roman"/>
                <w:b/>
              </w:rPr>
              <w:t>M</w:t>
            </w:r>
          </w:p>
        </w:tc>
        <w:tc>
          <w:tcPr>
            <w:tcW w:w="1055" w:type="dxa"/>
            <w:shd w:val="clear" w:color="auto" w:fill="auto"/>
            <w:vAlign w:val="center"/>
          </w:tcPr>
          <w:p w14:paraId="6714188F" w14:textId="77777777" w:rsidR="00291C18" w:rsidRDefault="00291C18" w:rsidP="00404E8C">
            <w:pPr>
              <w:jc w:val="center"/>
              <w:rPr>
                <w:rFonts w:cs="Times New Roman"/>
                <w:b/>
              </w:rPr>
            </w:pPr>
          </w:p>
          <w:p w14:paraId="08FF0BC8" w14:textId="77777777" w:rsidR="00291C18" w:rsidRDefault="00291C18" w:rsidP="00404E8C">
            <w:pPr>
              <w:jc w:val="center"/>
              <w:rPr>
                <w:rFonts w:cs="Times New Roman"/>
                <w:b/>
              </w:rPr>
            </w:pPr>
            <w:r>
              <w:rPr>
                <w:rFonts w:cs="Times New Roman"/>
                <w:b/>
              </w:rPr>
              <w:t>ST</w:t>
            </w:r>
          </w:p>
          <w:p w14:paraId="3B73A55D" w14:textId="77777777" w:rsidR="00291C18" w:rsidRPr="007259A9" w:rsidRDefault="00291C18" w:rsidP="00404E8C">
            <w:pPr>
              <w:rPr>
                <w:rFonts w:cs="Times New Roman"/>
                <w:b/>
              </w:rPr>
            </w:pPr>
          </w:p>
        </w:tc>
        <w:tc>
          <w:tcPr>
            <w:tcW w:w="865" w:type="dxa"/>
            <w:shd w:val="clear" w:color="auto" w:fill="auto"/>
            <w:vAlign w:val="center"/>
          </w:tcPr>
          <w:p w14:paraId="5E9BB2FB" w14:textId="77777777" w:rsidR="00291C18" w:rsidRPr="00AF0E2E" w:rsidRDefault="00291C18" w:rsidP="00404E8C">
            <w:pPr>
              <w:rPr>
                <w:rFonts w:cs="Times New Roman"/>
                <w:b/>
                <w:sz w:val="22"/>
                <w:szCs w:val="22"/>
              </w:rPr>
            </w:pPr>
          </w:p>
        </w:tc>
      </w:tr>
      <w:tr w:rsidR="00291C18" w:rsidRPr="00071DD2" w14:paraId="5B85B21D" w14:textId="77777777" w:rsidTr="00404E8C">
        <w:trPr>
          <w:jc w:val="center"/>
        </w:trPr>
        <w:tc>
          <w:tcPr>
            <w:tcW w:w="5945" w:type="dxa"/>
            <w:shd w:val="clear" w:color="auto" w:fill="auto"/>
            <w:vAlign w:val="center"/>
          </w:tcPr>
          <w:p w14:paraId="043403A8" w14:textId="77777777" w:rsidR="00291C18" w:rsidRPr="00AF0E2E" w:rsidRDefault="00291C18" w:rsidP="00404E8C">
            <w:pPr>
              <w:rPr>
                <w:rFonts w:cs="Times New Roman"/>
                <w:b/>
                <w:sz w:val="22"/>
                <w:szCs w:val="22"/>
              </w:rPr>
            </w:pPr>
            <w:r>
              <w:rPr>
                <w:rFonts w:cs="Times New Roman"/>
                <w:sz w:val="22"/>
                <w:szCs w:val="22"/>
              </w:rPr>
              <w:t>E</w:t>
            </w:r>
            <w:r w:rsidRPr="00B11C4E">
              <w:rPr>
                <w:rFonts w:cs="Times New Roman"/>
                <w:sz w:val="22"/>
                <w:szCs w:val="22"/>
              </w:rPr>
              <w:t>ngage with the international investment community with road shows or non-deal road shows</w:t>
            </w:r>
            <w:r>
              <w:rPr>
                <w:rFonts w:cs="Times New Roman"/>
                <w:sz w:val="22"/>
                <w:szCs w:val="22"/>
              </w:rPr>
              <w:t xml:space="preserve">. </w:t>
            </w:r>
            <w:r w:rsidRPr="00B11C4E">
              <w:rPr>
                <w:rFonts w:cs="Times New Roman"/>
                <w:b/>
                <w:i/>
                <w:sz w:val="22"/>
                <w:szCs w:val="22"/>
              </w:rPr>
              <w:t>(Treasury, FMD, BPNG)</w:t>
            </w:r>
          </w:p>
        </w:tc>
        <w:tc>
          <w:tcPr>
            <w:tcW w:w="1117" w:type="dxa"/>
            <w:shd w:val="clear" w:color="auto" w:fill="auto"/>
            <w:vAlign w:val="center"/>
          </w:tcPr>
          <w:p w14:paraId="5A7CEC0B" w14:textId="77777777" w:rsidR="00291C18" w:rsidRPr="007259A9" w:rsidRDefault="00291C18" w:rsidP="00404E8C">
            <w:pPr>
              <w:jc w:val="center"/>
              <w:rPr>
                <w:rFonts w:cs="Times New Roman"/>
                <w:b/>
              </w:rPr>
            </w:pPr>
            <w:r>
              <w:rPr>
                <w:rFonts w:cs="Times New Roman"/>
                <w:b/>
              </w:rPr>
              <w:t>H</w:t>
            </w:r>
          </w:p>
        </w:tc>
        <w:tc>
          <w:tcPr>
            <w:tcW w:w="1055" w:type="dxa"/>
            <w:shd w:val="clear" w:color="auto" w:fill="auto"/>
            <w:vAlign w:val="center"/>
          </w:tcPr>
          <w:p w14:paraId="05783BB0" w14:textId="77777777" w:rsidR="00291C18" w:rsidRPr="007259A9" w:rsidRDefault="00291C18" w:rsidP="00404E8C">
            <w:pPr>
              <w:jc w:val="center"/>
              <w:rPr>
                <w:rFonts w:cs="Times New Roman"/>
                <w:b/>
              </w:rPr>
            </w:pPr>
            <w:r>
              <w:rPr>
                <w:rFonts w:cs="Times New Roman"/>
                <w:b/>
              </w:rPr>
              <w:t>ST</w:t>
            </w:r>
          </w:p>
        </w:tc>
        <w:tc>
          <w:tcPr>
            <w:tcW w:w="865" w:type="dxa"/>
            <w:shd w:val="clear" w:color="auto" w:fill="auto"/>
            <w:vAlign w:val="center"/>
          </w:tcPr>
          <w:p w14:paraId="709692AC" w14:textId="77777777" w:rsidR="00291C18" w:rsidRPr="00AF0E2E" w:rsidRDefault="00291C18" w:rsidP="00404E8C">
            <w:pPr>
              <w:rPr>
                <w:rFonts w:cs="Times New Roman"/>
                <w:b/>
                <w:sz w:val="22"/>
                <w:szCs w:val="22"/>
              </w:rPr>
            </w:pPr>
          </w:p>
        </w:tc>
      </w:tr>
      <w:tr w:rsidR="00291C18" w:rsidRPr="00071DD2" w14:paraId="08C59D7D" w14:textId="77777777" w:rsidTr="00404E8C">
        <w:trPr>
          <w:jc w:val="center"/>
        </w:trPr>
        <w:tc>
          <w:tcPr>
            <w:tcW w:w="5945" w:type="dxa"/>
            <w:shd w:val="clear" w:color="auto" w:fill="auto"/>
            <w:vAlign w:val="center"/>
          </w:tcPr>
          <w:p w14:paraId="330EF673" w14:textId="77777777" w:rsidR="00291C18" w:rsidRPr="00AF0E2E" w:rsidRDefault="00291C18" w:rsidP="00404E8C">
            <w:pPr>
              <w:jc w:val="both"/>
              <w:rPr>
                <w:rFonts w:cs="Times New Roman"/>
                <w:b/>
                <w:sz w:val="22"/>
                <w:szCs w:val="22"/>
              </w:rPr>
            </w:pPr>
            <w:r>
              <w:rPr>
                <w:rFonts w:cs="Times New Roman"/>
                <w:sz w:val="22"/>
                <w:szCs w:val="22"/>
              </w:rPr>
              <w:t xml:space="preserve">Encourage </w:t>
            </w:r>
            <w:r w:rsidRPr="00B11C4E">
              <w:rPr>
                <w:rFonts w:cs="Times New Roman"/>
                <w:sz w:val="22"/>
                <w:szCs w:val="22"/>
              </w:rPr>
              <w:t xml:space="preserve">organization between banks, super funds, and brokers. This can be by way of a domestic bond market </w:t>
            </w:r>
            <w:r w:rsidRPr="00B11C4E">
              <w:rPr>
                <w:rFonts w:cs="Times New Roman"/>
                <w:sz w:val="22"/>
                <w:szCs w:val="22"/>
              </w:rPr>
              <w:lastRenderedPageBreak/>
              <w:t xml:space="preserve">development </w:t>
            </w:r>
            <w:r>
              <w:rPr>
                <w:rFonts w:cs="Times New Roman"/>
                <w:sz w:val="22"/>
                <w:szCs w:val="22"/>
              </w:rPr>
              <w:t xml:space="preserve">Dealer Advisory Panel. </w:t>
            </w:r>
            <w:r w:rsidRPr="00B11C4E">
              <w:rPr>
                <w:rFonts w:cs="Times New Roman"/>
                <w:b/>
                <w:i/>
                <w:sz w:val="22"/>
                <w:szCs w:val="22"/>
              </w:rPr>
              <w:t>(Treasury &amp; FMD)</w:t>
            </w:r>
          </w:p>
        </w:tc>
        <w:tc>
          <w:tcPr>
            <w:tcW w:w="1117" w:type="dxa"/>
            <w:shd w:val="clear" w:color="auto" w:fill="auto"/>
            <w:vAlign w:val="center"/>
          </w:tcPr>
          <w:p w14:paraId="6011738A" w14:textId="77777777" w:rsidR="00291C18" w:rsidRPr="007259A9" w:rsidRDefault="00291C18" w:rsidP="00404E8C">
            <w:pPr>
              <w:jc w:val="center"/>
              <w:rPr>
                <w:rFonts w:cs="Times New Roman"/>
                <w:b/>
              </w:rPr>
            </w:pPr>
            <w:r>
              <w:rPr>
                <w:rFonts w:cs="Times New Roman"/>
                <w:b/>
              </w:rPr>
              <w:lastRenderedPageBreak/>
              <w:t>M</w:t>
            </w:r>
          </w:p>
        </w:tc>
        <w:tc>
          <w:tcPr>
            <w:tcW w:w="1055" w:type="dxa"/>
            <w:shd w:val="clear" w:color="auto" w:fill="auto"/>
            <w:vAlign w:val="center"/>
          </w:tcPr>
          <w:p w14:paraId="188A6634" w14:textId="77777777" w:rsidR="00291C18" w:rsidRPr="007259A9" w:rsidRDefault="00291C18" w:rsidP="00404E8C">
            <w:pPr>
              <w:jc w:val="center"/>
              <w:rPr>
                <w:rFonts w:cs="Times New Roman"/>
                <w:b/>
              </w:rPr>
            </w:pPr>
            <w:r>
              <w:rPr>
                <w:rFonts w:cs="Times New Roman"/>
                <w:b/>
              </w:rPr>
              <w:t>MT</w:t>
            </w:r>
          </w:p>
        </w:tc>
        <w:tc>
          <w:tcPr>
            <w:tcW w:w="865" w:type="dxa"/>
            <w:shd w:val="clear" w:color="auto" w:fill="auto"/>
            <w:vAlign w:val="center"/>
          </w:tcPr>
          <w:p w14:paraId="107F900B" w14:textId="77777777" w:rsidR="00291C18" w:rsidRPr="00AF0E2E" w:rsidRDefault="00291C18" w:rsidP="00404E8C">
            <w:pPr>
              <w:rPr>
                <w:rFonts w:cs="Times New Roman"/>
                <w:b/>
                <w:sz w:val="22"/>
                <w:szCs w:val="22"/>
              </w:rPr>
            </w:pPr>
          </w:p>
        </w:tc>
      </w:tr>
      <w:tr w:rsidR="00291C18" w:rsidRPr="00071DD2" w14:paraId="4E22E4FE" w14:textId="77777777" w:rsidTr="00404E8C">
        <w:trPr>
          <w:jc w:val="center"/>
        </w:trPr>
        <w:tc>
          <w:tcPr>
            <w:tcW w:w="5945" w:type="dxa"/>
            <w:shd w:val="clear" w:color="auto" w:fill="auto"/>
            <w:vAlign w:val="center"/>
          </w:tcPr>
          <w:p w14:paraId="20376D53" w14:textId="77777777" w:rsidR="00291C18" w:rsidRPr="00B11C4E" w:rsidRDefault="00291C18" w:rsidP="00404E8C">
            <w:pPr>
              <w:rPr>
                <w:rFonts w:cs="Times New Roman"/>
                <w:sz w:val="22"/>
                <w:szCs w:val="22"/>
              </w:rPr>
            </w:pPr>
            <w:r>
              <w:rPr>
                <w:rFonts w:cs="Times New Roman"/>
                <w:sz w:val="22"/>
                <w:szCs w:val="22"/>
              </w:rPr>
              <w:lastRenderedPageBreak/>
              <w:t xml:space="preserve">Establish centralized source for all bond market information and data. </w:t>
            </w:r>
            <w:r w:rsidRPr="00B11C4E">
              <w:rPr>
                <w:rFonts w:cs="Times New Roman"/>
                <w:b/>
                <w:i/>
                <w:sz w:val="22"/>
                <w:szCs w:val="22"/>
              </w:rPr>
              <w:t>(BPNG)</w:t>
            </w:r>
          </w:p>
        </w:tc>
        <w:tc>
          <w:tcPr>
            <w:tcW w:w="1117" w:type="dxa"/>
            <w:shd w:val="clear" w:color="auto" w:fill="auto"/>
            <w:vAlign w:val="center"/>
          </w:tcPr>
          <w:p w14:paraId="0969C360" w14:textId="77777777" w:rsidR="00291C18" w:rsidRPr="007259A9" w:rsidRDefault="00291C18" w:rsidP="00404E8C">
            <w:pPr>
              <w:jc w:val="center"/>
              <w:rPr>
                <w:rFonts w:cs="Times New Roman"/>
                <w:b/>
              </w:rPr>
            </w:pPr>
            <w:r>
              <w:rPr>
                <w:rFonts w:cs="Times New Roman"/>
                <w:b/>
              </w:rPr>
              <w:t>M</w:t>
            </w:r>
          </w:p>
        </w:tc>
        <w:tc>
          <w:tcPr>
            <w:tcW w:w="1055" w:type="dxa"/>
            <w:shd w:val="clear" w:color="auto" w:fill="auto"/>
            <w:vAlign w:val="center"/>
          </w:tcPr>
          <w:p w14:paraId="3978F286" w14:textId="77777777" w:rsidR="00291C18" w:rsidRPr="007259A9" w:rsidRDefault="00291C18" w:rsidP="00404E8C">
            <w:pPr>
              <w:jc w:val="center"/>
              <w:rPr>
                <w:rFonts w:cs="Times New Roman"/>
                <w:b/>
              </w:rPr>
            </w:pPr>
            <w:r>
              <w:rPr>
                <w:rFonts w:cs="Times New Roman"/>
                <w:b/>
              </w:rPr>
              <w:t>MT</w:t>
            </w:r>
          </w:p>
        </w:tc>
        <w:tc>
          <w:tcPr>
            <w:tcW w:w="865" w:type="dxa"/>
            <w:shd w:val="clear" w:color="auto" w:fill="auto"/>
            <w:vAlign w:val="center"/>
          </w:tcPr>
          <w:p w14:paraId="6FFCBE71" w14:textId="77777777" w:rsidR="00291C18" w:rsidRPr="00AF0E2E" w:rsidRDefault="00291C18" w:rsidP="00404E8C">
            <w:pPr>
              <w:rPr>
                <w:rFonts w:cs="Times New Roman"/>
                <w:b/>
                <w:sz w:val="22"/>
                <w:szCs w:val="22"/>
              </w:rPr>
            </w:pPr>
          </w:p>
        </w:tc>
      </w:tr>
      <w:tr w:rsidR="00291C18" w:rsidRPr="00071DD2" w14:paraId="4195B639" w14:textId="77777777" w:rsidTr="00404E8C">
        <w:trPr>
          <w:jc w:val="center"/>
        </w:trPr>
        <w:tc>
          <w:tcPr>
            <w:tcW w:w="5945" w:type="dxa"/>
            <w:tcBorders>
              <w:bottom w:val="single" w:sz="4" w:space="0" w:color="auto"/>
            </w:tcBorders>
            <w:shd w:val="clear" w:color="auto" w:fill="E0E0E0"/>
            <w:vAlign w:val="center"/>
          </w:tcPr>
          <w:p w14:paraId="2BB7CC80" w14:textId="77777777" w:rsidR="00291C18" w:rsidRPr="00AF0E2E" w:rsidRDefault="00291C18" w:rsidP="00404E8C">
            <w:pPr>
              <w:rPr>
                <w:rFonts w:cs="Times New Roman"/>
                <w:b/>
                <w:sz w:val="22"/>
                <w:szCs w:val="22"/>
              </w:rPr>
            </w:pPr>
            <w:r w:rsidRPr="00AF0E2E">
              <w:rPr>
                <w:rFonts w:cs="Times New Roman"/>
                <w:b/>
                <w:sz w:val="22"/>
                <w:szCs w:val="22"/>
              </w:rPr>
              <w:t>Money Market</w:t>
            </w:r>
          </w:p>
        </w:tc>
        <w:tc>
          <w:tcPr>
            <w:tcW w:w="1117" w:type="dxa"/>
            <w:tcBorders>
              <w:bottom w:val="single" w:sz="4" w:space="0" w:color="auto"/>
            </w:tcBorders>
            <w:shd w:val="clear" w:color="auto" w:fill="E0E0E0"/>
            <w:vAlign w:val="center"/>
          </w:tcPr>
          <w:p w14:paraId="452D1760" w14:textId="77777777" w:rsidR="00291C18" w:rsidRPr="007259A9" w:rsidRDefault="00291C18" w:rsidP="00404E8C">
            <w:pPr>
              <w:jc w:val="center"/>
              <w:rPr>
                <w:rFonts w:cs="Times New Roman"/>
                <w:b/>
              </w:rPr>
            </w:pPr>
          </w:p>
        </w:tc>
        <w:tc>
          <w:tcPr>
            <w:tcW w:w="1055" w:type="dxa"/>
            <w:tcBorders>
              <w:bottom w:val="single" w:sz="4" w:space="0" w:color="auto"/>
            </w:tcBorders>
            <w:shd w:val="clear" w:color="auto" w:fill="E0E0E0"/>
            <w:vAlign w:val="center"/>
          </w:tcPr>
          <w:p w14:paraId="6DE6A5A6" w14:textId="77777777" w:rsidR="00291C18" w:rsidRPr="007259A9" w:rsidRDefault="00291C18" w:rsidP="00404E8C">
            <w:pPr>
              <w:jc w:val="center"/>
              <w:rPr>
                <w:rFonts w:cs="Times New Roman"/>
                <w:b/>
              </w:rPr>
            </w:pPr>
          </w:p>
        </w:tc>
        <w:tc>
          <w:tcPr>
            <w:tcW w:w="865" w:type="dxa"/>
            <w:tcBorders>
              <w:bottom w:val="single" w:sz="4" w:space="0" w:color="auto"/>
            </w:tcBorders>
            <w:shd w:val="clear" w:color="auto" w:fill="E0E0E0"/>
            <w:vAlign w:val="center"/>
          </w:tcPr>
          <w:p w14:paraId="446DC119" w14:textId="77777777" w:rsidR="00291C18" w:rsidRPr="00AF0E2E" w:rsidRDefault="00291C18" w:rsidP="00404E8C">
            <w:pPr>
              <w:rPr>
                <w:rFonts w:cs="Times New Roman"/>
                <w:b/>
                <w:sz w:val="22"/>
                <w:szCs w:val="22"/>
              </w:rPr>
            </w:pPr>
          </w:p>
        </w:tc>
      </w:tr>
      <w:tr w:rsidR="00291C18" w:rsidRPr="00071DD2" w14:paraId="3A8FBC1E" w14:textId="77777777" w:rsidTr="00404E8C">
        <w:trPr>
          <w:jc w:val="center"/>
        </w:trPr>
        <w:tc>
          <w:tcPr>
            <w:tcW w:w="5945" w:type="dxa"/>
            <w:shd w:val="clear" w:color="auto" w:fill="auto"/>
            <w:vAlign w:val="center"/>
          </w:tcPr>
          <w:p w14:paraId="277C6FE4" w14:textId="77777777" w:rsidR="00291C18" w:rsidRPr="00040906" w:rsidRDefault="00291C18" w:rsidP="00404E8C">
            <w:pPr>
              <w:pStyle w:val="ListParagraph"/>
              <w:widowControl w:val="0"/>
              <w:ind w:left="0"/>
              <w:contextualSpacing w:val="0"/>
              <w:jc w:val="both"/>
              <w:rPr>
                <w:rFonts w:cs="Times New Roman"/>
              </w:rPr>
            </w:pPr>
            <w:r w:rsidRPr="00040906">
              <w:rPr>
                <w:rFonts w:cs="Times New Roman"/>
                <w:sz w:val="22"/>
                <w:szCs w:val="22"/>
              </w:rPr>
              <w:t>Promote the use of interbank repurchase transactions amongst banks and market participants</w:t>
            </w:r>
            <w:r>
              <w:rPr>
                <w:rFonts w:cs="Times New Roman"/>
              </w:rPr>
              <w:t xml:space="preserve">. </w:t>
            </w:r>
            <w:r w:rsidRPr="00040906">
              <w:rPr>
                <w:rFonts w:cs="Times New Roman"/>
                <w:b/>
                <w:i/>
                <w:sz w:val="22"/>
                <w:szCs w:val="22"/>
              </w:rPr>
              <w:t>(BPNG)</w:t>
            </w:r>
          </w:p>
        </w:tc>
        <w:tc>
          <w:tcPr>
            <w:tcW w:w="1117" w:type="dxa"/>
            <w:shd w:val="clear" w:color="auto" w:fill="auto"/>
            <w:vAlign w:val="center"/>
          </w:tcPr>
          <w:p w14:paraId="6BDD46BB" w14:textId="77777777" w:rsidR="00291C18" w:rsidRPr="007259A9" w:rsidRDefault="00291C18" w:rsidP="00404E8C">
            <w:pPr>
              <w:jc w:val="center"/>
              <w:rPr>
                <w:rFonts w:cs="Times New Roman"/>
                <w:b/>
              </w:rPr>
            </w:pPr>
            <w:r>
              <w:rPr>
                <w:rFonts w:cs="Times New Roman"/>
                <w:b/>
              </w:rPr>
              <w:t>H</w:t>
            </w:r>
          </w:p>
        </w:tc>
        <w:tc>
          <w:tcPr>
            <w:tcW w:w="1055" w:type="dxa"/>
            <w:shd w:val="clear" w:color="auto" w:fill="auto"/>
            <w:vAlign w:val="center"/>
          </w:tcPr>
          <w:p w14:paraId="22EF6A06" w14:textId="77777777" w:rsidR="00291C18" w:rsidRPr="007259A9" w:rsidRDefault="00291C18" w:rsidP="00404E8C">
            <w:pPr>
              <w:jc w:val="center"/>
              <w:rPr>
                <w:rFonts w:cs="Times New Roman"/>
                <w:b/>
              </w:rPr>
            </w:pPr>
            <w:r>
              <w:rPr>
                <w:rFonts w:cs="Times New Roman"/>
                <w:b/>
              </w:rPr>
              <w:t>ST</w:t>
            </w:r>
          </w:p>
        </w:tc>
        <w:tc>
          <w:tcPr>
            <w:tcW w:w="865" w:type="dxa"/>
            <w:shd w:val="clear" w:color="auto" w:fill="auto"/>
            <w:vAlign w:val="center"/>
          </w:tcPr>
          <w:p w14:paraId="55C325D8" w14:textId="77777777" w:rsidR="00291C18" w:rsidRPr="00AF0E2E" w:rsidRDefault="00291C18" w:rsidP="00404E8C">
            <w:pPr>
              <w:rPr>
                <w:rFonts w:cs="Times New Roman"/>
                <w:b/>
                <w:sz w:val="22"/>
                <w:szCs w:val="22"/>
              </w:rPr>
            </w:pPr>
          </w:p>
        </w:tc>
      </w:tr>
      <w:tr w:rsidR="00291C18" w:rsidRPr="00071DD2" w14:paraId="33A750A9" w14:textId="77777777" w:rsidTr="00404E8C">
        <w:trPr>
          <w:jc w:val="center"/>
        </w:trPr>
        <w:tc>
          <w:tcPr>
            <w:tcW w:w="5945" w:type="dxa"/>
            <w:shd w:val="clear" w:color="auto" w:fill="auto"/>
            <w:vAlign w:val="center"/>
          </w:tcPr>
          <w:p w14:paraId="37308CE9" w14:textId="77777777" w:rsidR="00291C18" w:rsidRPr="00040906" w:rsidRDefault="00291C18" w:rsidP="00404E8C">
            <w:pPr>
              <w:pStyle w:val="ListParagraph"/>
              <w:widowControl w:val="0"/>
              <w:ind w:left="0"/>
              <w:contextualSpacing w:val="0"/>
              <w:jc w:val="both"/>
              <w:rPr>
                <w:rFonts w:cs="Times New Roman"/>
                <w:sz w:val="22"/>
                <w:szCs w:val="22"/>
              </w:rPr>
            </w:pPr>
            <w:r>
              <w:rPr>
                <w:rFonts w:cs="Times New Roman"/>
                <w:sz w:val="22"/>
                <w:szCs w:val="22"/>
              </w:rPr>
              <w:t>E</w:t>
            </w:r>
            <w:r w:rsidRPr="003A56D2">
              <w:rPr>
                <w:rFonts w:cs="Times New Roman"/>
                <w:sz w:val="22"/>
                <w:szCs w:val="22"/>
              </w:rPr>
              <w:t>xecute and promote the use of traditional repurchas</w:t>
            </w:r>
            <w:r>
              <w:rPr>
                <w:rFonts w:cs="Times New Roman"/>
                <w:sz w:val="22"/>
                <w:szCs w:val="22"/>
              </w:rPr>
              <w:t>e transactions, secured, with</w:t>
            </w:r>
            <w:r w:rsidRPr="003A56D2">
              <w:rPr>
                <w:rFonts w:cs="Times New Roman"/>
                <w:sz w:val="22"/>
                <w:szCs w:val="22"/>
              </w:rPr>
              <w:t xml:space="preserve"> the MRA in conducting the Bank’s open market operations so to mitigate the Bank’s credit risk exposure.</w:t>
            </w:r>
            <w:r>
              <w:rPr>
                <w:rFonts w:cs="Times New Roman"/>
                <w:sz w:val="22"/>
                <w:szCs w:val="22"/>
              </w:rPr>
              <w:t xml:space="preserve"> </w:t>
            </w:r>
            <w:r w:rsidRPr="003A56D2">
              <w:rPr>
                <w:rFonts w:cs="Times New Roman"/>
                <w:b/>
                <w:i/>
                <w:sz w:val="22"/>
                <w:szCs w:val="22"/>
              </w:rPr>
              <w:t>(BPNG)</w:t>
            </w:r>
          </w:p>
        </w:tc>
        <w:tc>
          <w:tcPr>
            <w:tcW w:w="1117" w:type="dxa"/>
            <w:shd w:val="clear" w:color="auto" w:fill="auto"/>
            <w:vAlign w:val="center"/>
          </w:tcPr>
          <w:p w14:paraId="5C9AA175" w14:textId="77777777" w:rsidR="00291C18" w:rsidRDefault="00291C18" w:rsidP="00404E8C">
            <w:pPr>
              <w:jc w:val="center"/>
              <w:rPr>
                <w:rFonts w:cs="Times New Roman"/>
                <w:b/>
              </w:rPr>
            </w:pPr>
            <w:r>
              <w:rPr>
                <w:rFonts w:cs="Times New Roman"/>
                <w:b/>
              </w:rPr>
              <w:t>H</w:t>
            </w:r>
          </w:p>
        </w:tc>
        <w:tc>
          <w:tcPr>
            <w:tcW w:w="1055" w:type="dxa"/>
            <w:shd w:val="clear" w:color="auto" w:fill="auto"/>
            <w:vAlign w:val="center"/>
          </w:tcPr>
          <w:p w14:paraId="3330E50A" w14:textId="77777777" w:rsidR="00291C18" w:rsidRDefault="00291C18" w:rsidP="00404E8C">
            <w:pPr>
              <w:jc w:val="center"/>
              <w:rPr>
                <w:rFonts w:cs="Times New Roman"/>
                <w:b/>
              </w:rPr>
            </w:pPr>
            <w:r>
              <w:rPr>
                <w:rFonts w:cs="Times New Roman"/>
                <w:b/>
              </w:rPr>
              <w:t>ST</w:t>
            </w:r>
          </w:p>
        </w:tc>
        <w:tc>
          <w:tcPr>
            <w:tcW w:w="865" w:type="dxa"/>
            <w:shd w:val="clear" w:color="auto" w:fill="auto"/>
            <w:vAlign w:val="center"/>
          </w:tcPr>
          <w:p w14:paraId="75CF7ACF" w14:textId="77777777" w:rsidR="00291C18" w:rsidRPr="00AF0E2E" w:rsidRDefault="00291C18" w:rsidP="00404E8C">
            <w:pPr>
              <w:rPr>
                <w:rFonts w:cs="Times New Roman"/>
                <w:b/>
                <w:sz w:val="22"/>
                <w:szCs w:val="22"/>
              </w:rPr>
            </w:pPr>
          </w:p>
        </w:tc>
      </w:tr>
      <w:tr w:rsidR="00291C18" w:rsidRPr="00071DD2" w14:paraId="3526D527" w14:textId="77777777" w:rsidTr="00404E8C">
        <w:trPr>
          <w:jc w:val="center"/>
        </w:trPr>
        <w:tc>
          <w:tcPr>
            <w:tcW w:w="5945" w:type="dxa"/>
            <w:shd w:val="clear" w:color="auto" w:fill="auto"/>
            <w:vAlign w:val="center"/>
          </w:tcPr>
          <w:p w14:paraId="34CE27CE" w14:textId="77777777" w:rsidR="00291C18" w:rsidRPr="00AF0E2E" w:rsidRDefault="00291C18" w:rsidP="00404E8C">
            <w:pPr>
              <w:pStyle w:val="ListParagraph"/>
              <w:widowControl w:val="0"/>
              <w:ind w:left="0"/>
              <w:contextualSpacing w:val="0"/>
              <w:jc w:val="both"/>
              <w:rPr>
                <w:rFonts w:cs="Times New Roman"/>
                <w:b/>
                <w:sz w:val="22"/>
                <w:szCs w:val="22"/>
              </w:rPr>
            </w:pPr>
            <w:r>
              <w:rPr>
                <w:rFonts w:cs="Times New Roman"/>
                <w:sz w:val="22"/>
                <w:szCs w:val="22"/>
              </w:rPr>
              <w:t>E</w:t>
            </w:r>
            <w:r w:rsidRPr="00040906">
              <w:rPr>
                <w:rFonts w:cs="Times New Roman"/>
                <w:sz w:val="22"/>
                <w:szCs w:val="22"/>
              </w:rPr>
              <w:t>xamine margining, reserve requirements, accounting practices, and tax issues to ensure market so</w:t>
            </w:r>
            <w:r>
              <w:rPr>
                <w:rFonts w:cs="Times New Roman"/>
                <w:sz w:val="22"/>
                <w:szCs w:val="22"/>
              </w:rPr>
              <w:t>undness</w:t>
            </w:r>
            <w:r w:rsidRPr="00040906">
              <w:rPr>
                <w:rFonts w:cs="Times New Roman"/>
                <w:sz w:val="22"/>
                <w:szCs w:val="22"/>
              </w:rPr>
              <w:t>.</w:t>
            </w:r>
            <w:r>
              <w:rPr>
                <w:rFonts w:cs="Times New Roman"/>
                <w:sz w:val="22"/>
                <w:szCs w:val="22"/>
              </w:rPr>
              <w:t xml:space="preserve"> </w:t>
            </w:r>
            <w:r w:rsidRPr="00040906">
              <w:rPr>
                <w:rFonts w:cs="Times New Roman"/>
                <w:b/>
                <w:i/>
                <w:sz w:val="22"/>
                <w:szCs w:val="22"/>
              </w:rPr>
              <w:t>(BPNG)</w:t>
            </w:r>
          </w:p>
        </w:tc>
        <w:tc>
          <w:tcPr>
            <w:tcW w:w="1117" w:type="dxa"/>
            <w:shd w:val="clear" w:color="auto" w:fill="auto"/>
            <w:vAlign w:val="center"/>
          </w:tcPr>
          <w:p w14:paraId="63D9DD74" w14:textId="77777777" w:rsidR="00291C18" w:rsidRPr="007259A9" w:rsidRDefault="00291C18" w:rsidP="00404E8C">
            <w:pPr>
              <w:jc w:val="center"/>
              <w:rPr>
                <w:rFonts w:cs="Times New Roman"/>
                <w:b/>
              </w:rPr>
            </w:pPr>
            <w:r>
              <w:rPr>
                <w:rFonts w:cs="Times New Roman"/>
                <w:b/>
              </w:rPr>
              <w:t>H</w:t>
            </w:r>
          </w:p>
        </w:tc>
        <w:tc>
          <w:tcPr>
            <w:tcW w:w="1055" w:type="dxa"/>
            <w:shd w:val="clear" w:color="auto" w:fill="auto"/>
            <w:vAlign w:val="center"/>
          </w:tcPr>
          <w:p w14:paraId="3811A041" w14:textId="77777777" w:rsidR="00291C18" w:rsidRPr="007259A9" w:rsidRDefault="00291C18" w:rsidP="00404E8C">
            <w:pPr>
              <w:jc w:val="center"/>
              <w:rPr>
                <w:rFonts w:cs="Times New Roman"/>
                <w:b/>
              </w:rPr>
            </w:pPr>
            <w:r>
              <w:rPr>
                <w:rFonts w:cs="Times New Roman"/>
                <w:b/>
              </w:rPr>
              <w:t>MT</w:t>
            </w:r>
          </w:p>
        </w:tc>
        <w:tc>
          <w:tcPr>
            <w:tcW w:w="865" w:type="dxa"/>
            <w:shd w:val="clear" w:color="auto" w:fill="auto"/>
            <w:vAlign w:val="center"/>
          </w:tcPr>
          <w:p w14:paraId="173DB3C9" w14:textId="77777777" w:rsidR="00291C18" w:rsidRPr="00AF0E2E" w:rsidRDefault="00291C18" w:rsidP="00404E8C">
            <w:pPr>
              <w:rPr>
                <w:rFonts w:cs="Times New Roman"/>
                <w:b/>
                <w:sz w:val="22"/>
                <w:szCs w:val="22"/>
              </w:rPr>
            </w:pPr>
          </w:p>
        </w:tc>
      </w:tr>
      <w:tr w:rsidR="00291C18" w:rsidRPr="00071DD2" w14:paraId="46336B01" w14:textId="77777777" w:rsidTr="00404E8C">
        <w:trPr>
          <w:jc w:val="center"/>
        </w:trPr>
        <w:tc>
          <w:tcPr>
            <w:tcW w:w="5945" w:type="dxa"/>
            <w:shd w:val="clear" w:color="auto" w:fill="auto"/>
            <w:vAlign w:val="center"/>
          </w:tcPr>
          <w:p w14:paraId="2DCBF650" w14:textId="77777777" w:rsidR="00291C18" w:rsidRPr="00AF0E2E" w:rsidRDefault="00291C18" w:rsidP="00404E8C">
            <w:pPr>
              <w:jc w:val="both"/>
              <w:rPr>
                <w:rFonts w:cs="Times New Roman"/>
                <w:b/>
                <w:sz w:val="22"/>
                <w:szCs w:val="22"/>
              </w:rPr>
            </w:pPr>
            <w:r w:rsidRPr="00040906">
              <w:rPr>
                <w:rFonts w:cs="Times New Roman"/>
                <w:sz w:val="22"/>
                <w:szCs w:val="22"/>
              </w:rPr>
              <w:t xml:space="preserve">Interbank transactions </w:t>
            </w:r>
            <w:r>
              <w:rPr>
                <w:rFonts w:cs="Times New Roman"/>
                <w:sz w:val="22"/>
                <w:szCs w:val="22"/>
              </w:rPr>
              <w:t xml:space="preserve">and data </w:t>
            </w:r>
            <w:r w:rsidRPr="00040906">
              <w:rPr>
                <w:rFonts w:cs="Times New Roman"/>
                <w:sz w:val="22"/>
                <w:szCs w:val="22"/>
              </w:rPr>
              <w:t>should be disseminated, in a practical time frame given the volume</w:t>
            </w:r>
            <w:r>
              <w:rPr>
                <w:rFonts w:cs="Times New Roman"/>
                <w:sz w:val="22"/>
                <w:szCs w:val="22"/>
              </w:rPr>
              <w:t xml:space="preserve">. </w:t>
            </w:r>
            <w:r w:rsidRPr="00040906">
              <w:rPr>
                <w:rFonts w:cs="Times New Roman"/>
                <w:b/>
                <w:i/>
                <w:sz w:val="22"/>
                <w:szCs w:val="22"/>
              </w:rPr>
              <w:t>(BPNG)</w:t>
            </w:r>
          </w:p>
        </w:tc>
        <w:tc>
          <w:tcPr>
            <w:tcW w:w="1117" w:type="dxa"/>
            <w:shd w:val="clear" w:color="auto" w:fill="auto"/>
            <w:vAlign w:val="center"/>
          </w:tcPr>
          <w:p w14:paraId="04B516EF" w14:textId="77777777" w:rsidR="00291C18" w:rsidRPr="007259A9" w:rsidRDefault="00291C18" w:rsidP="00404E8C">
            <w:pPr>
              <w:jc w:val="center"/>
              <w:rPr>
                <w:rFonts w:cs="Times New Roman"/>
                <w:b/>
              </w:rPr>
            </w:pPr>
            <w:r>
              <w:rPr>
                <w:rFonts w:cs="Times New Roman"/>
                <w:b/>
              </w:rPr>
              <w:t>M</w:t>
            </w:r>
          </w:p>
        </w:tc>
        <w:tc>
          <w:tcPr>
            <w:tcW w:w="1055" w:type="dxa"/>
            <w:shd w:val="clear" w:color="auto" w:fill="auto"/>
            <w:vAlign w:val="center"/>
          </w:tcPr>
          <w:p w14:paraId="323D8752" w14:textId="77777777" w:rsidR="00291C18" w:rsidRPr="007259A9" w:rsidRDefault="00291C18" w:rsidP="00404E8C">
            <w:pPr>
              <w:jc w:val="center"/>
              <w:rPr>
                <w:rFonts w:cs="Times New Roman"/>
                <w:b/>
              </w:rPr>
            </w:pPr>
            <w:r>
              <w:rPr>
                <w:rFonts w:cs="Times New Roman"/>
                <w:b/>
              </w:rPr>
              <w:t>MT</w:t>
            </w:r>
          </w:p>
        </w:tc>
        <w:tc>
          <w:tcPr>
            <w:tcW w:w="865" w:type="dxa"/>
            <w:shd w:val="clear" w:color="auto" w:fill="auto"/>
            <w:vAlign w:val="center"/>
          </w:tcPr>
          <w:p w14:paraId="7D7D2CFA" w14:textId="77777777" w:rsidR="00291C18" w:rsidRPr="00AF0E2E" w:rsidRDefault="00291C18" w:rsidP="00404E8C">
            <w:pPr>
              <w:rPr>
                <w:rFonts w:cs="Times New Roman"/>
                <w:b/>
                <w:sz w:val="22"/>
                <w:szCs w:val="22"/>
              </w:rPr>
            </w:pPr>
          </w:p>
        </w:tc>
      </w:tr>
      <w:tr w:rsidR="00291C18" w:rsidRPr="00071DD2" w14:paraId="14CBE293" w14:textId="77777777" w:rsidTr="00404E8C">
        <w:trPr>
          <w:jc w:val="center"/>
        </w:trPr>
        <w:tc>
          <w:tcPr>
            <w:tcW w:w="5945" w:type="dxa"/>
            <w:shd w:val="clear" w:color="auto" w:fill="auto"/>
            <w:vAlign w:val="center"/>
          </w:tcPr>
          <w:p w14:paraId="3D9CECB1" w14:textId="77777777" w:rsidR="00291C18" w:rsidRPr="00040906" w:rsidRDefault="00291C18" w:rsidP="00404E8C">
            <w:pPr>
              <w:pStyle w:val="ListParagraph"/>
              <w:widowControl w:val="0"/>
              <w:ind w:left="0"/>
              <w:contextualSpacing w:val="0"/>
              <w:jc w:val="both"/>
              <w:rPr>
                <w:rFonts w:cs="Times New Roman"/>
                <w:sz w:val="22"/>
                <w:szCs w:val="22"/>
              </w:rPr>
            </w:pPr>
            <w:r w:rsidRPr="003A56D2">
              <w:rPr>
                <w:rFonts w:cs="Times New Roman"/>
                <w:sz w:val="22"/>
                <w:szCs w:val="22"/>
              </w:rPr>
              <w:t>Upgrade payment, custody, and settlement infrastructure to reduce the credit and operational risk of secondary market and interbank repurchase transactions.</w:t>
            </w:r>
            <w:r>
              <w:rPr>
                <w:rFonts w:cs="Times New Roman"/>
                <w:sz w:val="22"/>
                <w:szCs w:val="22"/>
              </w:rPr>
              <w:t xml:space="preserve"> </w:t>
            </w:r>
            <w:r w:rsidRPr="003A56D2">
              <w:rPr>
                <w:rFonts w:cs="Times New Roman"/>
                <w:b/>
                <w:i/>
                <w:sz w:val="22"/>
                <w:szCs w:val="22"/>
              </w:rPr>
              <w:t>(BPNG)</w:t>
            </w:r>
          </w:p>
        </w:tc>
        <w:tc>
          <w:tcPr>
            <w:tcW w:w="1117" w:type="dxa"/>
            <w:shd w:val="clear" w:color="auto" w:fill="auto"/>
            <w:vAlign w:val="center"/>
          </w:tcPr>
          <w:p w14:paraId="48310849" w14:textId="77777777" w:rsidR="00291C18" w:rsidRDefault="00291C18" w:rsidP="00404E8C">
            <w:pPr>
              <w:jc w:val="center"/>
              <w:rPr>
                <w:rFonts w:cs="Times New Roman"/>
                <w:b/>
              </w:rPr>
            </w:pPr>
            <w:r>
              <w:rPr>
                <w:rFonts w:cs="Times New Roman"/>
                <w:b/>
              </w:rPr>
              <w:t>H</w:t>
            </w:r>
          </w:p>
        </w:tc>
        <w:tc>
          <w:tcPr>
            <w:tcW w:w="1055" w:type="dxa"/>
            <w:shd w:val="clear" w:color="auto" w:fill="auto"/>
            <w:vAlign w:val="center"/>
          </w:tcPr>
          <w:p w14:paraId="1C17A506" w14:textId="77777777" w:rsidR="00291C18" w:rsidRDefault="00291C18" w:rsidP="00404E8C">
            <w:pPr>
              <w:jc w:val="center"/>
              <w:rPr>
                <w:rFonts w:cs="Times New Roman"/>
                <w:b/>
              </w:rPr>
            </w:pPr>
            <w:r>
              <w:rPr>
                <w:rFonts w:cs="Times New Roman"/>
                <w:b/>
              </w:rPr>
              <w:t>ST</w:t>
            </w:r>
          </w:p>
        </w:tc>
        <w:tc>
          <w:tcPr>
            <w:tcW w:w="865" w:type="dxa"/>
            <w:shd w:val="clear" w:color="auto" w:fill="auto"/>
            <w:vAlign w:val="center"/>
          </w:tcPr>
          <w:p w14:paraId="52229C1D" w14:textId="77777777" w:rsidR="00291C18" w:rsidRPr="00AF0E2E" w:rsidRDefault="00291C18" w:rsidP="00404E8C">
            <w:pPr>
              <w:rPr>
                <w:rFonts w:cs="Times New Roman"/>
                <w:b/>
                <w:sz w:val="22"/>
                <w:szCs w:val="22"/>
              </w:rPr>
            </w:pPr>
          </w:p>
        </w:tc>
      </w:tr>
      <w:tr w:rsidR="00291C18" w:rsidRPr="00071DD2" w14:paraId="1F4C6089" w14:textId="77777777" w:rsidTr="00404E8C">
        <w:trPr>
          <w:jc w:val="center"/>
        </w:trPr>
        <w:tc>
          <w:tcPr>
            <w:tcW w:w="5945" w:type="dxa"/>
            <w:tcBorders>
              <w:bottom w:val="single" w:sz="4" w:space="0" w:color="auto"/>
            </w:tcBorders>
            <w:shd w:val="clear" w:color="auto" w:fill="E0E0E0"/>
            <w:vAlign w:val="center"/>
          </w:tcPr>
          <w:p w14:paraId="6CBFD34D" w14:textId="77777777" w:rsidR="00291C18" w:rsidRPr="00AF0E2E" w:rsidRDefault="00291C18" w:rsidP="00404E8C">
            <w:pPr>
              <w:rPr>
                <w:rFonts w:cs="Times New Roman"/>
                <w:b/>
                <w:sz w:val="22"/>
                <w:szCs w:val="22"/>
              </w:rPr>
            </w:pPr>
            <w:r w:rsidRPr="00AF0E2E">
              <w:rPr>
                <w:rFonts w:cs="Times New Roman"/>
                <w:b/>
                <w:sz w:val="22"/>
                <w:szCs w:val="22"/>
              </w:rPr>
              <w:t>Primary Market</w:t>
            </w:r>
          </w:p>
        </w:tc>
        <w:tc>
          <w:tcPr>
            <w:tcW w:w="1117" w:type="dxa"/>
            <w:tcBorders>
              <w:bottom w:val="single" w:sz="4" w:space="0" w:color="auto"/>
            </w:tcBorders>
            <w:shd w:val="clear" w:color="auto" w:fill="E0E0E0"/>
            <w:vAlign w:val="center"/>
          </w:tcPr>
          <w:p w14:paraId="161A3021" w14:textId="77777777" w:rsidR="00291C18" w:rsidRPr="007259A9" w:rsidRDefault="00291C18" w:rsidP="00404E8C">
            <w:pPr>
              <w:jc w:val="center"/>
              <w:rPr>
                <w:rFonts w:cs="Times New Roman"/>
                <w:b/>
              </w:rPr>
            </w:pPr>
          </w:p>
        </w:tc>
        <w:tc>
          <w:tcPr>
            <w:tcW w:w="1055" w:type="dxa"/>
            <w:tcBorders>
              <w:bottom w:val="single" w:sz="4" w:space="0" w:color="auto"/>
            </w:tcBorders>
            <w:shd w:val="clear" w:color="auto" w:fill="E0E0E0"/>
            <w:vAlign w:val="center"/>
          </w:tcPr>
          <w:p w14:paraId="05B51EE9" w14:textId="77777777" w:rsidR="00291C18" w:rsidRPr="007259A9" w:rsidRDefault="00291C18" w:rsidP="00404E8C">
            <w:pPr>
              <w:jc w:val="center"/>
              <w:rPr>
                <w:rFonts w:cs="Times New Roman"/>
                <w:b/>
              </w:rPr>
            </w:pPr>
          </w:p>
        </w:tc>
        <w:tc>
          <w:tcPr>
            <w:tcW w:w="865" w:type="dxa"/>
            <w:tcBorders>
              <w:bottom w:val="single" w:sz="4" w:space="0" w:color="auto"/>
            </w:tcBorders>
            <w:shd w:val="clear" w:color="auto" w:fill="E0E0E0"/>
            <w:vAlign w:val="center"/>
          </w:tcPr>
          <w:p w14:paraId="106F779C" w14:textId="77777777" w:rsidR="00291C18" w:rsidRPr="00AF0E2E" w:rsidRDefault="00291C18" w:rsidP="00404E8C">
            <w:pPr>
              <w:rPr>
                <w:rFonts w:cs="Times New Roman"/>
                <w:b/>
                <w:sz w:val="22"/>
                <w:szCs w:val="22"/>
              </w:rPr>
            </w:pPr>
          </w:p>
        </w:tc>
      </w:tr>
      <w:tr w:rsidR="00291C18" w:rsidRPr="00071DD2" w14:paraId="6FA1C57A" w14:textId="77777777" w:rsidTr="00404E8C">
        <w:trPr>
          <w:jc w:val="center"/>
        </w:trPr>
        <w:tc>
          <w:tcPr>
            <w:tcW w:w="5945" w:type="dxa"/>
            <w:shd w:val="clear" w:color="auto" w:fill="auto"/>
            <w:vAlign w:val="center"/>
          </w:tcPr>
          <w:p w14:paraId="50201879" w14:textId="77777777" w:rsidR="00291C18" w:rsidRPr="00040906" w:rsidRDefault="00291C18" w:rsidP="00404E8C">
            <w:pPr>
              <w:pStyle w:val="ListParagraph"/>
              <w:widowControl w:val="0"/>
              <w:ind w:left="0"/>
              <w:contextualSpacing w:val="0"/>
              <w:jc w:val="both"/>
              <w:rPr>
                <w:rFonts w:cs="Times New Roman"/>
                <w:sz w:val="22"/>
                <w:szCs w:val="22"/>
              </w:rPr>
            </w:pPr>
            <w:r>
              <w:rPr>
                <w:rFonts w:cs="Times New Roman"/>
                <w:sz w:val="22"/>
                <w:szCs w:val="22"/>
              </w:rPr>
              <w:t>I</w:t>
            </w:r>
            <w:r w:rsidRPr="00040906">
              <w:rPr>
                <w:rFonts w:cs="Times New Roman"/>
                <w:sz w:val="22"/>
                <w:szCs w:val="22"/>
              </w:rPr>
              <w:t>mplement the Bloomberg auction system for the government securities and central Bank bills primary market.</w:t>
            </w:r>
            <w:r>
              <w:rPr>
                <w:rFonts w:cs="Times New Roman"/>
                <w:sz w:val="22"/>
                <w:szCs w:val="22"/>
              </w:rPr>
              <w:t xml:space="preserve"> </w:t>
            </w:r>
            <w:r w:rsidRPr="00040906">
              <w:rPr>
                <w:rFonts w:cs="Times New Roman"/>
                <w:b/>
                <w:i/>
                <w:sz w:val="22"/>
                <w:szCs w:val="22"/>
              </w:rPr>
              <w:t>(BPNG &amp; FMD)</w:t>
            </w:r>
          </w:p>
        </w:tc>
        <w:tc>
          <w:tcPr>
            <w:tcW w:w="1117" w:type="dxa"/>
            <w:shd w:val="clear" w:color="auto" w:fill="auto"/>
            <w:vAlign w:val="center"/>
          </w:tcPr>
          <w:p w14:paraId="7A57B657" w14:textId="77777777" w:rsidR="00291C18" w:rsidRPr="007259A9" w:rsidRDefault="00291C18" w:rsidP="00404E8C">
            <w:pPr>
              <w:jc w:val="center"/>
              <w:rPr>
                <w:rFonts w:cs="Times New Roman"/>
                <w:b/>
              </w:rPr>
            </w:pPr>
            <w:r>
              <w:rPr>
                <w:rFonts w:cs="Times New Roman"/>
                <w:b/>
              </w:rPr>
              <w:t>H</w:t>
            </w:r>
          </w:p>
        </w:tc>
        <w:tc>
          <w:tcPr>
            <w:tcW w:w="1055" w:type="dxa"/>
            <w:shd w:val="clear" w:color="auto" w:fill="auto"/>
            <w:vAlign w:val="center"/>
          </w:tcPr>
          <w:p w14:paraId="11FB2663" w14:textId="77777777" w:rsidR="00291C18" w:rsidRPr="007259A9" w:rsidRDefault="00291C18" w:rsidP="00404E8C">
            <w:pPr>
              <w:jc w:val="center"/>
              <w:rPr>
                <w:rFonts w:cs="Times New Roman"/>
                <w:b/>
              </w:rPr>
            </w:pPr>
            <w:r>
              <w:rPr>
                <w:rFonts w:cs="Times New Roman"/>
                <w:b/>
              </w:rPr>
              <w:t>ST</w:t>
            </w:r>
          </w:p>
        </w:tc>
        <w:tc>
          <w:tcPr>
            <w:tcW w:w="865" w:type="dxa"/>
            <w:shd w:val="clear" w:color="auto" w:fill="auto"/>
            <w:vAlign w:val="center"/>
          </w:tcPr>
          <w:p w14:paraId="6AFC6453" w14:textId="77777777" w:rsidR="00291C18" w:rsidRPr="00AF0E2E" w:rsidRDefault="00291C18" w:rsidP="00404E8C">
            <w:pPr>
              <w:rPr>
                <w:rFonts w:cs="Times New Roman"/>
                <w:b/>
                <w:sz w:val="22"/>
                <w:szCs w:val="22"/>
              </w:rPr>
            </w:pPr>
          </w:p>
        </w:tc>
      </w:tr>
      <w:tr w:rsidR="00291C18" w:rsidRPr="00071DD2" w14:paraId="61B77BC9" w14:textId="77777777" w:rsidTr="00404E8C">
        <w:trPr>
          <w:jc w:val="center"/>
        </w:trPr>
        <w:tc>
          <w:tcPr>
            <w:tcW w:w="5945" w:type="dxa"/>
            <w:shd w:val="clear" w:color="auto" w:fill="auto"/>
            <w:vAlign w:val="center"/>
          </w:tcPr>
          <w:p w14:paraId="2C21C6F1" w14:textId="77777777" w:rsidR="00291C18" w:rsidRPr="00040906" w:rsidRDefault="00291C18" w:rsidP="00404E8C">
            <w:pPr>
              <w:rPr>
                <w:rFonts w:cs="Times New Roman"/>
                <w:sz w:val="22"/>
                <w:szCs w:val="22"/>
              </w:rPr>
            </w:pPr>
            <w:r>
              <w:rPr>
                <w:rFonts w:cs="Times New Roman"/>
                <w:sz w:val="22"/>
                <w:szCs w:val="22"/>
              </w:rPr>
              <w:t xml:space="preserve">Timely and preannounced primary market auction calendar for T-bills &amp; GIS. </w:t>
            </w:r>
            <w:r w:rsidRPr="00040906">
              <w:rPr>
                <w:rFonts w:cs="Times New Roman"/>
                <w:b/>
                <w:i/>
                <w:sz w:val="22"/>
                <w:szCs w:val="22"/>
              </w:rPr>
              <w:t>(Treasury, FMD, PDC)</w:t>
            </w:r>
          </w:p>
        </w:tc>
        <w:tc>
          <w:tcPr>
            <w:tcW w:w="1117" w:type="dxa"/>
            <w:shd w:val="clear" w:color="auto" w:fill="auto"/>
            <w:vAlign w:val="center"/>
          </w:tcPr>
          <w:p w14:paraId="26D9DB80" w14:textId="77777777" w:rsidR="00291C18" w:rsidRPr="007259A9" w:rsidRDefault="00291C18" w:rsidP="00404E8C">
            <w:pPr>
              <w:jc w:val="center"/>
              <w:rPr>
                <w:rFonts w:cs="Times New Roman"/>
                <w:b/>
              </w:rPr>
            </w:pPr>
            <w:r>
              <w:rPr>
                <w:rFonts w:cs="Times New Roman"/>
                <w:b/>
              </w:rPr>
              <w:t>H</w:t>
            </w:r>
          </w:p>
        </w:tc>
        <w:tc>
          <w:tcPr>
            <w:tcW w:w="1055" w:type="dxa"/>
            <w:shd w:val="clear" w:color="auto" w:fill="auto"/>
            <w:vAlign w:val="center"/>
          </w:tcPr>
          <w:p w14:paraId="0EC69013" w14:textId="77777777" w:rsidR="00291C18" w:rsidRPr="007259A9" w:rsidRDefault="00291C18" w:rsidP="00404E8C">
            <w:pPr>
              <w:jc w:val="center"/>
              <w:rPr>
                <w:rFonts w:cs="Times New Roman"/>
                <w:b/>
              </w:rPr>
            </w:pPr>
            <w:r>
              <w:rPr>
                <w:rFonts w:cs="Times New Roman"/>
                <w:b/>
              </w:rPr>
              <w:t>ST</w:t>
            </w:r>
          </w:p>
        </w:tc>
        <w:tc>
          <w:tcPr>
            <w:tcW w:w="865" w:type="dxa"/>
            <w:shd w:val="clear" w:color="auto" w:fill="auto"/>
            <w:vAlign w:val="center"/>
          </w:tcPr>
          <w:p w14:paraId="7291E2D2" w14:textId="77777777" w:rsidR="00291C18" w:rsidRPr="00AF0E2E" w:rsidRDefault="00291C18" w:rsidP="00404E8C">
            <w:pPr>
              <w:rPr>
                <w:rFonts w:cs="Times New Roman"/>
                <w:b/>
                <w:sz w:val="22"/>
                <w:szCs w:val="22"/>
              </w:rPr>
            </w:pPr>
          </w:p>
        </w:tc>
      </w:tr>
      <w:tr w:rsidR="00291C18" w:rsidRPr="00071DD2" w14:paraId="027DEB01" w14:textId="77777777" w:rsidTr="00404E8C">
        <w:trPr>
          <w:jc w:val="center"/>
        </w:trPr>
        <w:tc>
          <w:tcPr>
            <w:tcW w:w="5945" w:type="dxa"/>
            <w:shd w:val="clear" w:color="auto" w:fill="auto"/>
            <w:vAlign w:val="center"/>
          </w:tcPr>
          <w:p w14:paraId="5714C4A1" w14:textId="77777777" w:rsidR="00291C18" w:rsidRPr="00040906" w:rsidRDefault="00291C18" w:rsidP="00404E8C">
            <w:pPr>
              <w:jc w:val="both"/>
              <w:rPr>
                <w:rFonts w:cs="Times New Roman"/>
                <w:sz w:val="22"/>
                <w:szCs w:val="22"/>
              </w:rPr>
            </w:pPr>
            <w:r>
              <w:rPr>
                <w:rFonts w:cs="Times New Roman"/>
                <w:sz w:val="22"/>
                <w:szCs w:val="22"/>
              </w:rPr>
              <w:t xml:space="preserve">Allow non-competitive bidding for small and retail investors. </w:t>
            </w:r>
            <w:r>
              <w:rPr>
                <w:rFonts w:cs="Times New Roman"/>
                <w:b/>
                <w:i/>
                <w:sz w:val="22"/>
                <w:szCs w:val="22"/>
              </w:rPr>
              <w:t>(Treasury,</w:t>
            </w:r>
            <w:r w:rsidRPr="00040906">
              <w:rPr>
                <w:rFonts w:cs="Times New Roman"/>
                <w:b/>
                <w:i/>
                <w:sz w:val="22"/>
                <w:szCs w:val="22"/>
              </w:rPr>
              <w:t xml:space="preserve"> FMD</w:t>
            </w:r>
            <w:r>
              <w:rPr>
                <w:rFonts w:cs="Times New Roman"/>
                <w:b/>
                <w:i/>
                <w:sz w:val="22"/>
                <w:szCs w:val="22"/>
              </w:rPr>
              <w:t>, BPNG</w:t>
            </w:r>
            <w:r w:rsidRPr="00040906">
              <w:rPr>
                <w:rFonts w:cs="Times New Roman"/>
                <w:b/>
                <w:i/>
                <w:sz w:val="22"/>
                <w:szCs w:val="22"/>
              </w:rPr>
              <w:t>)</w:t>
            </w:r>
          </w:p>
        </w:tc>
        <w:tc>
          <w:tcPr>
            <w:tcW w:w="1117" w:type="dxa"/>
            <w:shd w:val="clear" w:color="auto" w:fill="auto"/>
            <w:vAlign w:val="center"/>
          </w:tcPr>
          <w:p w14:paraId="52C842EF" w14:textId="77777777" w:rsidR="00291C18" w:rsidRPr="007259A9" w:rsidRDefault="00291C18" w:rsidP="00404E8C">
            <w:pPr>
              <w:jc w:val="center"/>
              <w:rPr>
                <w:rFonts w:cs="Times New Roman"/>
                <w:b/>
              </w:rPr>
            </w:pPr>
            <w:r>
              <w:rPr>
                <w:rFonts w:cs="Times New Roman"/>
                <w:b/>
              </w:rPr>
              <w:t>M</w:t>
            </w:r>
          </w:p>
        </w:tc>
        <w:tc>
          <w:tcPr>
            <w:tcW w:w="1055" w:type="dxa"/>
            <w:shd w:val="clear" w:color="auto" w:fill="auto"/>
            <w:vAlign w:val="center"/>
          </w:tcPr>
          <w:p w14:paraId="67BC9A9F" w14:textId="77777777" w:rsidR="00291C18" w:rsidRPr="007259A9" w:rsidRDefault="00291C18" w:rsidP="00404E8C">
            <w:pPr>
              <w:jc w:val="center"/>
              <w:rPr>
                <w:rFonts w:cs="Times New Roman"/>
                <w:b/>
              </w:rPr>
            </w:pPr>
            <w:r>
              <w:rPr>
                <w:rFonts w:cs="Times New Roman"/>
                <w:b/>
              </w:rPr>
              <w:t>ST</w:t>
            </w:r>
          </w:p>
        </w:tc>
        <w:tc>
          <w:tcPr>
            <w:tcW w:w="865" w:type="dxa"/>
            <w:shd w:val="clear" w:color="auto" w:fill="auto"/>
            <w:vAlign w:val="center"/>
          </w:tcPr>
          <w:p w14:paraId="4984B0C2" w14:textId="77777777" w:rsidR="00291C18" w:rsidRPr="00AF0E2E" w:rsidRDefault="00291C18" w:rsidP="00404E8C">
            <w:pPr>
              <w:rPr>
                <w:rFonts w:cs="Times New Roman"/>
                <w:b/>
                <w:sz w:val="22"/>
                <w:szCs w:val="22"/>
              </w:rPr>
            </w:pPr>
          </w:p>
        </w:tc>
      </w:tr>
      <w:tr w:rsidR="00291C18" w:rsidRPr="00071DD2" w14:paraId="16769E17" w14:textId="77777777" w:rsidTr="00404E8C">
        <w:trPr>
          <w:jc w:val="center"/>
        </w:trPr>
        <w:tc>
          <w:tcPr>
            <w:tcW w:w="5945" w:type="dxa"/>
            <w:shd w:val="clear" w:color="auto" w:fill="auto"/>
            <w:vAlign w:val="center"/>
          </w:tcPr>
          <w:p w14:paraId="33AD47C0" w14:textId="77777777" w:rsidR="00291C18" w:rsidRPr="00040906" w:rsidRDefault="00291C18" w:rsidP="00404E8C">
            <w:pPr>
              <w:jc w:val="both"/>
              <w:rPr>
                <w:rFonts w:cs="Times New Roman"/>
                <w:sz w:val="22"/>
                <w:szCs w:val="22"/>
              </w:rPr>
            </w:pPr>
            <w:r>
              <w:rPr>
                <w:rFonts w:cs="Times New Roman"/>
                <w:sz w:val="22"/>
                <w:szCs w:val="22"/>
              </w:rPr>
              <w:t xml:space="preserve">Central bank bidding changed to non-competitive from competitive. </w:t>
            </w:r>
            <w:r w:rsidRPr="00040906">
              <w:rPr>
                <w:rFonts w:cs="Times New Roman"/>
                <w:b/>
                <w:i/>
                <w:sz w:val="22"/>
                <w:szCs w:val="22"/>
              </w:rPr>
              <w:t>(Treasury, FMD, BPNG)</w:t>
            </w:r>
          </w:p>
        </w:tc>
        <w:tc>
          <w:tcPr>
            <w:tcW w:w="1117" w:type="dxa"/>
            <w:shd w:val="clear" w:color="auto" w:fill="auto"/>
            <w:vAlign w:val="center"/>
          </w:tcPr>
          <w:p w14:paraId="19A6680C" w14:textId="77777777" w:rsidR="00291C18" w:rsidRPr="007259A9" w:rsidRDefault="00291C18" w:rsidP="00404E8C">
            <w:pPr>
              <w:jc w:val="center"/>
              <w:rPr>
                <w:rFonts w:cs="Times New Roman"/>
                <w:b/>
              </w:rPr>
            </w:pPr>
            <w:r>
              <w:rPr>
                <w:rFonts w:cs="Times New Roman"/>
                <w:b/>
              </w:rPr>
              <w:t>H</w:t>
            </w:r>
          </w:p>
        </w:tc>
        <w:tc>
          <w:tcPr>
            <w:tcW w:w="1055" w:type="dxa"/>
            <w:shd w:val="clear" w:color="auto" w:fill="auto"/>
            <w:vAlign w:val="center"/>
          </w:tcPr>
          <w:p w14:paraId="1FF24FEE" w14:textId="77777777" w:rsidR="00291C18" w:rsidRPr="007259A9" w:rsidRDefault="00291C18" w:rsidP="00404E8C">
            <w:pPr>
              <w:jc w:val="center"/>
              <w:rPr>
                <w:rFonts w:cs="Times New Roman"/>
                <w:b/>
              </w:rPr>
            </w:pPr>
            <w:r>
              <w:rPr>
                <w:rFonts w:cs="Times New Roman"/>
                <w:b/>
              </w:rPr>
              <w:t>ST</w:t>
            </w:r>
          </w:p>
        </w:tc>
        <w:tc>
          <w:tcPr>
            <w:tcW w:w="865" w:type="dxa"/>
            <w:shd w:val="clear" w:color="auto" w:fill="auto"/>
            <w:vAlign w:val="center"/>
          </w:tcPr>
          <w:p w14:paraId="2DF12073" w14:textId="77777777" w:rsidR="00291C18" w:rsidRPr="00AF0E2E" w:rsidRDefault="00291C18" w:rsidP="00404E8C">
            <w:pPr>
              <w:rPr>
                <w:rFonts w:cs="Times New Roman"/>
                <w:b/>
                <w:sz w:val="22"/>
                <w:szCs w:val="22"/>
              </w:rPr>
            </w:pPr>
          </w:p>
        </w:tc>
      </w:tr>
      <w:tr w:rsidR="00291C18" w:rsidRPr="00071DD2" w14:paraId="189DCF66" w14:textId="77777777" w:rsidTr="00404E8C">
        <w:trPr>
          <w:jc w:val="center"/>
        </w:trPr>
        <w:tc>
          <w:tcPr>
            <w:tcW w:w="5945" w:type="dxa"/>
            <w:shd w:val="clear" w:color="auto" w:fill="auto"/>
            <w:vAlign w:val="center"/>
          </w:tcPr>
          <w:p w14:paraId="5F9BA8AD" w14:textId="77777777" w:rsidR="00291C18" w:rsidRDefault="00291C18" w:rsidP="00404E8C">
            <w:pPr>
              <w:jc w:val="both"/>
              <w:rPr>
                <w:rFonts w:cs="Times New Roman"/>
                <w:sz w:val="22"/>
                <w:szCs w:val="22"/>
              </w:rPr>
            </w:pPr>
            <w:r w:rsidRPr="00040906">
              <w:rPr>
                <w:rFonts w:cs="Times New Roman"/>
                <w:sz w:val="22"/>
                <w:szCs w:val="22"/>
              </w:rPr>
              <w:t>Lowering the minimum bid threshold of PGK100</w:t>
            </w:r>
            <w:proofErr w:type="gramStart"/>
            <w:r w:rsidRPr="00040906">
              <w:rPr>
                <w:rFonts w:cs="Times New Roman"/>
                <w:sz w:val="22"/>
                <w:szCs w:val="22"/>
              </w:rPr>
              <w:t>,000</w:t>
            </w:r>
            <w:proofErr w:type="gramEnd"/>
            <w:r w:rsidRPr="00040906">
              <w:rPr>
                <w:rFonts w:cs="Times New Roman"/>
                <w:sz w:val="22"/>
                <w:szCs w:val="22"/>
              </w:rPr>
              <w:t xml:space="preserve"> for small corporates and individuals</w:t>
            </w:r>
            <w:r>
              <w:rPr>
                <w:rFonts w:cs="Times New Roman"/>
                <w:sz w:val="22"/>
                <w:szCs w:val="22"/>
              </w:rPr>
              <w:t xml:space="preserve">. </w:t>
            </w:r>
            <w:r w:rsidRPr="00E33845">
              <w:rPr>
                <w:rFonts w:cs="Times New Roman"/>
                <w:b/>
                <w:i/>
                <w:sz w:val="22"/>
                <w:szCs w:val="22"/>
              </w:rPr>
              <w:t>(Treasury,</w:t>
            </w:r>
            <w:r>
              <w:rPr>
                <w:rFonts w:cs="Times New Roman"/>
                <w:b/>
                <w:i/>
                <w:sz w:val="22"/>
                <w:szCs w:val="22"/>
              </w:rPr>
              <w:t xml:space="preserve"> </w:t>
            </w:r>
            <w:r w:rsidRPr="00E33845">
              <w:rPr>
                <w:rFonts w:cs="Times New Roman"/>
                <w:b/>
                <w:i/>
                <w:sz w:val="22"/>
                <w:szCs w:val="22"/>
              </w:rPr>
              <w:t>FMD, BPNG)</w:t>
            </w:r>
          </w:p>
        </w:tc>
        <w:tc>
          <w:tcPr>
            <w:tcW w:w="1117" w:type="dxa"/>
            <w:shd w:val="clear" w:color="auto" w:fill="auto"/>
            <w:vAlign w:val="center"/>
          </w:tcPr>
          <w:p w14:paraId="71A2EA42" w14:textId="77777777" w:rsidR="00291C18" w:rsidRDefault="00291C18" w:rsidP="00404E8C">
            <w:pPr>
              <w:jc w:val="center"/>
              <w:rPr>
                <w:rFonts w:cs="Times New Roman"/>
                <w:b/>
              </w:rPr>
            </w:pPr>
            <w:r>
              <w:rPr>
                <w:rFonts w:cs="Times New Roman"/>
                <w:b/>
              </w:rPr>
              <w:t>M</w:t>
            </w:r>
          </w:p>
        </w:tc>
        <w:tc>
          <w:tcPr>
            <w:tcW w:w="1055" w:type="dxa"/>
            <w:shd w:val="clear" w:color="auto" w:fill="auto"/>
            <w:vAlign w:val="center"/>
          </w:tcPr>
          <w:p w14:paraId="1201D805" w14:textId="77777777" w:rsidR="00291C18" w:rsidRDefault="00291C18" w:rsidP="00404E8C">
            <w:pPr>
              <w:jc w:val="center"/>
              <w:rPr>
                <w:rFonts w:cs="Times New Roman"/>
                <w:b/>
              </w:rPr>
            </w:pPr>
            <w:r>
              <w:rPr>
                <w:rFonts w:cs="Times New Roman"/>
                <w:b/>
              </w:rPr>
              <w:t>MT</w:t>
            </w:r>
          </w:p>
        </w:tc>
        <w:tc>
          <w:tcPr>
            <w:tcW w:w="865" w:type="dxa"/>
            <w:shd w:val="clear" w:color="auto" w:fill="auto"/>
            <w:vAlign w:val="center"/>
          </w:tcPr>
          <w:p w14:paraId="6BC8FCF9" w14:textId="77777777" w:rsidR="00291C18" w:rsidRPr="00AF0E2E" w:rsidRDefault="00291C18" w:rsidP="00404E8C">
            <w:pPr>
              <w:rPr>
                <w:rFonts w:cs="Times New Roman"/>
                <w:b/>
                <w:sz w:val="22"/>
                <w:szCs w:val="22"/>
              </w:rPr>
            </w:pPr>
          </w:p>
        </w:tc>
      </w:tr>
      <w:tr w:rsidR="00291C18" w:rsidRPr="00071DD2" w14:paraId="5485998A" w14:textId="77777777" w:rsidTr="00404E8C">
        <w:trPr>
          <w:jc w:val="center"/>
        </w:trPr>
        <w:tc>
          <w:tcPr>
            <w:tcW w:w="5945" w:type="dxa"/>
            <w:shd w:val="clear" w:color="auto" w:fill="auto"/>
            <w:vAlign w:val="center"/>
          </w:tcPr>
          <w:p w14:paraId="792A481B" w14:textId="77777777" w:rsidR="00291C18" w:rsidRPr="00040906" w:rsidRDefault="00291C18" w:rsidP="00404E8C">
            <w:pPr>
              <w:jc w:val="both"/>
              <w:rPr>
                <w:rFonts w:cs="Times New Roman"/>
                <w:sz w:val="22"/>
                <w:szCs w:val="22"/>
              </w:rPr>
            </w:pPr>
            <w:r w:rsidRPr="00040906">
              <w:rPr>
                <w:rFonts w:cs="Times New Roman"/>
                <w:sz w:val="22"/>
                <w:szCs w:val="22"/>
              </w:rPr>
              <w:t xml:space="preserve">Consolidate the 23-benchmark lines </w:t>
            </w:r>
            <w:r>
              <w:rPr>
                <w:rFonts w:cs="Times New Roman"/>
                <w:sz w:val="22"/>
                <w:szCs w:val="22"/>
              </w:rPr>
              <w:t xml:space="preserve">to promote yield curve benchmark series </w:t>
            </w:r>
            <w:r w:rsidRPr="00040906">
              <w:rPr>
                <w:rFonts w:cs="Times New Roman"/>
                <w:sz w:val="22"/>
                <w:szCs w:val="22"/>
              </w:rPr>
              <w:t xml:space="preserve">with due cognizance to </w:t>
            </w:r>
            <w:proofErr w:type="gramStart"/>
            <w:r w:rsidRPr="00040906">
              <w:rPr>
                <w:rFonts w:cs="Times New Roman"/>
                <w:sz w:val="22"/>
                <w:szCs w:val="22"/>
              </w:rPr>
              <w:t>roll-over</w:t>
            </w:r>
            <w:proofErr w:type="gramEnd"/>
            <w:r w:rsidRPr="00040906">
              <w:rPr>
                <w:rFonts w:cs="Times New Roman"/>
                <w:sz w:val="22"/>
                <w:szCs w:val="22"/>
              </w:rPr>
              <w:t xml:space="preserve"> risks</w:t>
            </w:r>
            <w:r>
              <w:rPr>
                <w:rFonts w:cs="Times New Roman"/>
                <w:sz w:val="22"/>
                <w:szCs w:val="22"/>
              </w:rPr>
              <w:t xml:space="preserve">. </w:t>
            </w:r>
            <w:r w:rsidRPr="00040906">
              <w:rPr>
                <w:rFonts w:cs="Times New Roman"/>
                <w:b/>
                <w:i/>
                <w:sz w:val="22"/>
                <w:szCs w:val="22"/>
              </w:rPr>
              <w:t>(FMD)</w:t>
            </w:r>
          </w:p>
        </w:tc>
        <w:tc>
          <w:tcPr>
            <w:tcW w:w="1117" w:type="dxa"/>
            <w:shd w:val="clear" w:color="auto" w:fill="auto"/>
            <w:vAlign w:val="center"/>
          </w:tcPr>
          <w:p w14:paraId="661D1BA8" w14:textId="77777777" w:rsidR="00291C18" w:rsidRPr="007259A9" w:rsidRDefault="00291C18" w:rsidP="00404E8C">
            <w:pPr>
              <w:jc w:val="center"/>
              <w:rPr>
                <w:rFonts w:cs="Times New Roman"/>
                <w:b/>
              </w:rPr>
            </w:pPr>
            <w:r>
              <w:rPr>
                <w:rFonts w:cs="Times New Roman"/>
                <w:b/>
              </w:rPr>
              <w:t>M</w:t>
            </w:r>
          </w:p>
        </w:tc>
        <w:tc>
          <w:tcPr>
            <w:tcW w:w="1055" w:type="dxa"/>
            <w:shd w:val="clear" w:color="auto" w:fill="auto"/>
            <w:vAlign w:val="center"/>
          </w:tcPr>
          <w:p w14:paraId="05BAF2F2" w14:textId="77777777" w:rsidR="00291C18" w:rsidRPr="007259A9" w:rsidRDefault="00291C18" w:rsidP="00404E8C">
            <w:pPr>
              <w:jc w:val="center"/>
              <w:rPr>
                <w:rFonts w:cs="Times New Roman"/>
                <w:b/>
              </w:rPr>
            </w:pPr>
            <w:r>
              <w:rPr>
                <w:rFonts w:cs="Times New Roman"/>
                <w:b/>
              </w:rPr>
              <w:t>MT</w:t>
            </w:r>
          </w:p>
        </w:tc>
        <w:tc>
          <w:tcPr>
            <w:tcW w:w="865" w:type="dxa"/>
            <w:shd w:val="clear" w:color="auto" w:fill="auto"/>
            <w:vAlign w:val="center"/>
          </w:tcPr>
          <w:p w14:paraId="7006EB81" w14:textId="77777777" w:rsidR="00291C18" w:rsidRPr="00AF0E2E" w:rsidRDefault="00291C18" w:rsidP="00404E8C">
            <w:pPr>
              <w:rPr>
                <w:rFonts w:cs="Times New Roman"/>
                <w:b/>
                <w:sz w:val="22"/>
                <w:szCs w:val="22"/>
              </w:rPr>
            </w:pPr>
          </w:p>
        </w:tc>
      </w:tr>
      <w:tr w:rsidR="00291C18" w:rsidRPr="00071DD2" w14:paraId="6B26773B" w14:textId="77777777" w:rsidTr="00404E8C">
        <w:trPr>
          <w:jc w:val="center"/>
        </w:trPr>
        <w:tc>
          <w:tcPr>
            <w:tcW w:w="5945" w:type="dxa"/>
            <w:shd w:val="clear" w:color="auto" w:fill="auto"/>
            <w:vAlign w:val="center"/>
          </w:tcPr>
          <w:p w14:paraId="24602FB5" w14:textId="77777777" w:rsidR="00291C18" w:rsidRPr="00040906" w:rsidRDefault="00291C18" w:rsidP="00404E8C">
            <w:pPr>
              <w:jc w:val="both"/>
              <w:rPr>
                <w:rFonts w:cs="Times New Roman"/>
                <w:sz w:val="22"/>
                <w:szCs w:val="22"/>
              </w:rPr>
            </w:pPr>
            <w:r>
              <w:rPr>
                <w:rFonts w:cs="Times New Roman"/>
                <w:sz w:val="22"/>
                <w:szCs w:val="22"/>
              </w:rPr>
              <w:t>I</w:t>
            </w:r>
            <w:r w:rsidRPr="00040906">
              <w:rPr>
                <w:rFonts w:cs="Times New Roman"/>
                <w:sz w:val="22"/>
                <w:szCs w:val="22"/>
              </w:rPr>
              <w:t>ncorporate into the future annual borrowing plans potential external placements in the international capital markets</w:t>
            </w:r>
            <w:r>
              <w:rPr>
                <w:rFonts w:cs="Times New Roman"/>
                <w:sz w:val="22"/>
                <w:szCs w:val="22"/>
              </w:rPr>
              <w:t xml:space="preserve">. </w:t>
            </w:r>
            <w:r w:rsidRPr="006A5D96">
              <w:rPr>
                <w:rFonts w:cs="Times New Roman"/>
                <w:b/>
                <w:i/>
                <w:sz w:val="22"/>
                <w:szCs w:val="22"/>
              </w:rPr>
              <w:t>(Treasury &amp; FMD)</w:t>
            </w:r>
          </w:p>
        </w:tc>
        <w:tc>
          <w:tcPr>
            <w:tcW w:w="1117" w:type="dxa"/>
            <w:shd w:val="clear" w:color="auto" w:fill="auto"/>
            <w:vAlign w:val="center"/>
          </w:tcPr>
          <w:p w14:paraId="1912EDCD" w14:textId="77777777" w:rsidR="00291C18" w:rsidRDefault="00291C18" w:rsidP="00404E8C">
            <w:pPr>
              <w:jc w:val="center"/>
              <w:rPr>
                <w:rFonts w:cs="Times New Roman"/>
                <w:b/>
              </w:rPr>
            </w:pPr>
            <w:r>
              <w:rPr>
                <w:rFonts w:cs="Times New Roman"/>
                <w:b/>
              </w:rPr>
              <w:t>H</w:t>
            </w:r>
          </w:p>
        </w:tc>
        <w:tc>
          <w:tcPr>
            <w:tcW w:w="1055" w:type="dxa"/>
            <w:shd w:val="clear" w:color="auto" w:fill="auto"/>
            <w:vAlign w:val="center"/>
          </w:tcPr>
          <w:p w14:paraId="06398A0C" w14:textId="77777777" w:rsidR="00291C18" w:rsidRDefault="00291C18" w:rsidP="00404E8C">
            <w:pPr>
              <w:jc w:val="center"/>
              <w:rPr>
                <w:rFonts w:cs="Times New Roman"/>
                <w:b/>
              </w:rPr>
            </w:pPr>
            <w:r>
              <w:rPr>
                <w:rFonts w:cs="Times New Roman"/>
                <w:b/>
              </w:rPr>
              <w:t>ST</w:t>
            </w:r>
          </w:p>
        </w:tc>
        <w:tc>
          <w:tcPr>
            <w:tcW w:w="865" w:type="dxa"/>
            <w:shd w:val="clear" w:color="auto" w:fill="auto"/>
            <w:vAlign w:val="center"/>
          </w:tcPr>
          <w:p w14:paraId="6871A727" w14:textId="77777777" w:rsidR="00291C18" w:rsidRPr="00AF0E2E" w:rsidRDefault="00291C18" w:rsidP="00404E8C">
            <w:pPr>
              <w:rPr>
                <w:rFonts w:cs="Times New Roman"/>
                <w:b/>
                <w:sz w:val="22"/>
                <w:szCs w:val="22"/>
              </w:rPr>
            </w:pPr>
          </w:p>
        </w:tc>
      </w:tr>
      <w:tr w:rsidR="00291C18" w:rsidRPr="00071DD2" w14:paraId="715EC0D9" w14:textId="77777777" w:rsidTr="00404E8C">
        <w:trPr>
          <w:jc w:val="center"/>
        </w:trPr>
        <w:tc>
          <w:tcPr>
            <w:tcW w:w="5945" w:type="dxa"/>
            <w:shd w:val="clear" w:color="auto" w:fill="auto"/>
            <w:vAlign w:val="center"/>
          </w:tcPr>
          <w:p w14:paraId="3DB8FA23" w14:textId="77777777" w:rsidR="00291C18" w:rsidRPr="00040906" w:rsidRDefault="00291C18" w:rsidP="00404E8C">
            <w:pPr>
              <w:rPr>
                <w:rFonts w:cs="Times New Roman"/>
                <w:sz w:val="22"/>
                <w:szCs w:val="22"/>
              </w:rPr>
            </w:pPr>
            <w:r>
              <w:rPr>
                <w:rFonts w:cs="Times New Roman"/>
                <w:sz w:val="22"/>
                <w:szCs w:val="22"/>
              </w:rPr>
              <w:t xml:space="preserve">The use of bond syndications for long dated GIS 10-years plus. </w:t>
            </w:r>
            <w:r w:rsidRPr="006A5D96">
              <w:rPr>
                <w:rFonts w:cs="Times New Roman"/>
                <w:b/>
                <w:i/>
                <w:sz w:val="22"/>
                <w:szCs w:val="22"/>
              </w:rPr>
              <w:t>(Treasury &amp; FMD)</w:t>
            </w:r>
          </w:p>
        </w:tc>
        <w:tc>
          <w:tcPr>
            <w:tcW w:w="1117" w:type="dxa"/>
            <w:shd w:val="clear" w:color="auto" w:fill="auto"/>
            <w:vAlign w:val="center"/>
          </w:tcPr>
          <w:p w14:paraId="7C60D32C" w14:textId="77777777" w:rsidR="00291C18" w:rsidRPr="007259A9" w:rsidRDefault="00291C18" w:rsidP="00404E8C">
            <w:pPr>
              <w:jc w:val="center"/>
              <w:rPr>
                <w:rFonts w:cs="Times New Roman"/>
                <w:b/>
              </w:rPr>
            </w:pPr>
            <w:r>
              <w:rPr>
                <w:rFonts w:cs="Times New Roman"/>
                <w:b/>
              </w:rPr>
              <w:t>L</w:t>
            </w:r>
          </w:p>
        </w:tc>
        <w:tc>
          <w:tcPr>
            <w:tcW w:w="1055" w:type="dxa"/>
            <w:shd w:val="clear" w:color="auto" w:fill="auto"/>
            <w:vAlign w:val="center"/>
          </w:tcPr>
          <w:p w14:paraId="2992439C" w14:textId="77777777" w:rsidR="00291C18" w:rsidRPr="007259A9" w:rsidRDefault="00291C18" w:rsidP="00404E8C">
            <w:pPr>
              <w:jc w:val="center"/>
              <w:rPr>
                <w:rFonts w:cs="Times New Roman"/>
                <w:b/>
              </w:rPr>
            </w:pPr>
            <w:r>
              <w:rPr>
                <w:rFonts w:cs="Times New Roman"/>
                <w:b/>
              </w:rPr>
              <w:t>MT</w:t>
            </w:r>
          </w:p>
        </w:tc>
        <w:tc>
          <w:tcPr>
            <w:tcW w:w="865" w:type="dxa"/>
            <w:shd w:val="clear" w:color="auto" w:fill="auto"/>
            <w:vAlign w:val="center"/>
          </w:tcPr>
          <w:p w14:paraId="6B387EA0" w14:textId="77777777" w:rsidR="00291C18" w:rsidRPr="00AF0E2E" w:rsidRDefault="00291C18" w:rsidP="00404E8C">
            <w:pPr>
              <w:rPr>
                <w:rFonts w:cs="Times New Roman"/>
                <w:b/>
                <w:sz w:val="22"/>
                <w:szCs w:val="22"/>
              </w:rPr>
            </w:pPr>
          </w:p>
        </w:tc>
      </w:tr>
      <w:tr w:rsidR="00291C18" w:rsidRPr="00071DD2" w14:paraId="7FC945DE" w14:textId="77777777" w:rsidTr="00404E8C">
        <w:trPr>
          <w:jc w:val="center"/>
        </w:trPr>
        <w:tc>
          <w:tcPr>
            <w:tcW w:w="5945" w:type="dxa"/>
            <w:shd w:val="clear" w:color="auto" w:fill="auto"/>
            <w:vAlign w:val="center"/>
          </w:tcPr>
          <w:p w14:paraId="5B19476E" w14:textId="77777777" w:rsidR="00291C18" w:rsidRPr="00040906" w:rsidRDefault="00291C18" w:rsidP="00404E8C">
            <w:pPr>
              <w:jc w:val="both"/>
              <w:rPr>
                <w:rFonts w:cs="Times New Roman"/>
                <w:sz w:val="22"/>
                <w:szCs w:val="22"/>
              </w:rPr>
            </w:pPr>
            <w:r>
              <w:rPr>
                <w:rFonts w:cs="Times New Roman"/>
                <w:sz w:val="22"/>
                <w:szCs w:val="22"/>
              </w:rPr>
              <w:t>D</w:t>
            </w:r>
            <w:r w:rsidRPr="00040906">
              <w:rPr>
                <w:rFonts w:cs="Times New Roman"/>
                <w:sz w:val="22"/>
                <w:szCs w:val="22"/>
              </w:rPr>
              <w:t xml:space="preserve">iversify the investor base and </w:t>
            </w:r>
            <w:r>
              <w:rPr>
                <w:rFonts w:cs="Times New Roman"/>
                <w:sz w:val="22"/>
                <w:szCs w:val="22"/>
              </w:rPr>
              <w:t xml:space="preserve">smooth out and distribute </w:t>
            </w:r>
            <w:r w:rsidRPr="00040906">
              <w:rPr>
                <w:rFonts w:cs="Times New Roman"/>
                <w:sz w:val="22"/>
                <w:szCs w:val="22"/>
              </w:rPr>
              <w:t>holdings of government securities</w:t>
            </w:r>
            <w:r>
              <w:rPr>
                <w:rFonts w:cs="Times New Roman"/>
                <w:sz w:val="22"/>
                <w:szCs w:val="22"/>
              </w:rPr>
              <w:t>. (</w:t>
            </w:r>
            <w:r w:rsidRPr="00040906">
              <w:rPr>
                <w:rFonts w:cs="Times New Roman"/>
                <w:b/>
                <w:i/>
                <w:sz w:val="22"/>
                <w:szCs w:val="22"/>
              </w:rPr>
              <w:t>Treasury, FMD, BPNG, DBMC)</w:t>
            </w:r>
          </w:p>
        </w:tc>
        <w:tc>
          <w:tcPr>
            <w:tcW w:w="1117" w:type="dxa"/>
            <w:shd w:val="clear" w:color="auto" w:fill="auto"/>
            <w:vAlign w:val="center"/>
          </w:tcPr>
          <w:p w14:paraId="73D637E0" w14:textId="77777777" w:rsidR="00291C18" w:rsidRDefault="00291C18" w:rsidP="00404E8C">
            <w:pPr>
              <w:jc w:val="center"/>
              <w:rPr>
                <w:rFonts w:cs="Times New Roman"/>
                <w:b/>
              </w:rPr>
            </w:pPr>
            <w:r>
              <w:rPr>
                <w:rFonts w:cs="Times New Roman"/>
                <w:b/>
              </w:rPr>
              <w:t>H</w:t>
            </w:r>
          </w:p>
        </w:tc>
        <w:tc>
          <w:tcPr>
            <w:tcW w:w="1055" w:type="dxa"/>
            <w:shd w:val="clear" w:color="auto" w:fill="auto"/>
            <w:vAlign w:val="center"/>
          </w:tcPr>
          <w:p w14:paraId="7C2A824F" w14:textId="77777777" w:rsidR="00291C18" w:rsidRDefault="00291C18" w:rsidP="00404E8C">
            <w:pPr>
              <w:jc w:val="center"/>
              <w:rPr>
                <w:rFonts w:cs="Times New Roman"/>
                <w:b/>
              </w:rPr>
            </w:pPr>
            <w:r>
              <w:rPr>
                <w:rFonts w:cs="Times New Roman"/>
                <w:b/>
              </w:rPr>
              <w:t>MT</w:t>
            </w:r>
          </w:p>
        </w:tc>
        <w:tc>
          <w:tcPr>
            <w:tcW w:w="865" w:type="dxa"/>
            <w:shd w:val="clear" w:color="auto" w:fill="auto"/>
            <w:vAlign w:val="center"/>
          </w:tcPr>
          <w:p w14:paraId="05D60D4F" w14:textId="77777777" w:rsidR="00291C18" w:rsidRPr="00AF0E2E" w:rsidRDefault="00291C18" w:rsidP="00404E8C">
            <w:pPr>
              <w:rPr>
                <w:rFonts w:cs="Times New Roman"/>
                <w:b/>
                <w:sz w:val="22"/>
                <w:szCs w:val="22"/>
              </w:rPr>
            </w:pPr>
          </w:p>
        </w:tc>
      </w:tr>
      <w:tr w:rsidR="00291C18" w:rsidRPr="00071DD2" w14:paraId="42943AB4" w14:textId="77777777" w:rsidTr="00404E8C">
        <w:trPr>
          <w:jc w:val="center"/>
        </w:trPr>
        <w:tc>
          <w:tcPr>
            <w:tcW w:w="5945" w:type="dxa"/>
            <w:shd w:val="clear" w:color="auto" w:fill="auto"/>
            <w:vAlign w:val="center"/>
          </w:tcPr>
          <w:p w14:paraId="678A625D" w14:textId="77777777" w:rsidR="00291C18" w:rsidRPr="00040906" w:rsidRDefault="00291C18" w:rsidP="00404E8C">
            <w:pPr>
              <w:jc w:val="both"/>
              <w:rPr>
                <w:rFonts w:cs="Times New Roman"/>
                <w:sz w:val="22"/>
                <w:szCs w:val="22"/>
              </w:rPr>
            </w:pPr>
            <w:r>
              <w:rPr>
                <w:rFonts w:cs="Times New Roman"/>
                <w:sz w:val="22"/>
                <w:szCs w:val="22"/>
              </w:rPr>
              <w:t>U</w:t>
            </w:r>
            <w:r w:rsidRPr="006A5D96">
              <w:rPr>
                <w:rFonts w:cs="Times New Roman"/>
                <w:sz w:val="22"/>
                <w:szCs w:val="22"/>
              </w:rPr>
              <w:t>pgrade custody and settlement arrangements by introducing automated securities clearing and settlement and a Central Securities Depository for all government securities</w:t>
            </w:r>
            <w:r>
              <w:rPr>
                <w:rFonts w:cs="Times New Roman"/>
                <w:sz w:val="22"/>
                <w:szCs w:val="22"/>
              </w:rPr>
              <w:t xml:space="preserve">. </w:t>
            </w:r>
            <w:r w:rsidRPr="006A5D96">
              <w:rPr>
                <w:rFonts w:cs="Times New Roman"/>
                <w:b/>
                <w:i/>
                <w:sz w:val="22"/>
                <w:szCs w:val="22"/>
              </w:rPr>
              <w:t>(BPNG &amp; Treasury).</w:t>
            </w:r>
          </w:p>
        </w:tc>
        <w:tc>
          <w:tcPr>
            <w:tcW w:w="1117" w:type="dxa"/>
            <w:shd w:val="clear" w:color="auto" w:fill="auto"/>
            <w:vAlign w:val="center"/>
          </w:tcPr>
          <w:p w14:paraId="42EC686B" w14:textId="77777777" w:rsidR="00291C18" w:rsidRDefault="00291C18" w:rsidP="00404E8C">
            <w:pPr>
              <w:jc w:val="center"/>
              <w:rPr>
                <w:rFonts w:cs="Times New Roman"/>
                <w:b/>
              </w:rPr>
            </w:pPr>
            <w:r>
              <w:rPr>
                <w:rFonts w:cs="Times New Roman"/>
                <w:b/>
              </w:rPr>
              <w:t>H</w:t>
            </w:r>
          </w:p>
        </w:tc>
        <w:tc>
          <w:tcPr>
            <w:tcW w:w="1055" w:type="dxa"/>
            <w:shd w:val="clear" w:color="auto" w:fill="auto"/>
            <w:vAlign w:val="center"/>
          </w:tcPr>
          <w:p w14:paraId="026EBA86" w14:textId="77777777" w:rsidR="00291C18" w:rsidRDefault="00291C18" w:rsidP="00404E8C">
            <w:pPr>
              <w:jc w:val="center"/>
              <w:rPr>
                <w:rFonts w:cs="Times New Roman"/>
                <w:b/>
              </w:rPr>
            </w:pPr>
            <w:r>
              <w:rPr>
                <w:rFonts w:cs="Times New Roman"/>
                <w:b/>
              </w:rPr>
              <w:t>MT</w:t>
            </w:r>
          </w:p>
        </w:tc>
        <w:tc>
          <w:tcPr>
            <w:tcW w:w="865" w:type="dxa"/>
            <w:shd w:val="clear" w:color="auto" w:fill="auto"/>
            <w:vAlign w:val="center"/>
          </w:tcPr>
          <w:p w14:paraId="6CF65E80" w14:textId="77777777" w:rsidR="00291C18" w:rsidRPr="00AF0E2E" w:rsidRDefault="00291C18" w:rsidP="00404E8C">
            <w:pPr>
              <w:rPr>
                <w:rFonts w:cs="Times New Roman"/>
                <w:b/>
                <w:sz w:val="22"/>
                <w:szCs w:val="22"/>
              </w:rPr>
            </w:pPr>
          </w:p>
        </w:tc>
      </w:tr>
      <w:tr w:rsidR="00291C18" w:rsidRPr="00071DD2" w14:paraId="0C20FCC4" w14:textId="77777777" w:rsidTr="00404E8C">
        <w:trPr>
          <w:jc w:val="center"/>
        </w:trPr>
        <w:tc>
          <w:tcPr>
            <w:tcW w:w="5945" w:type="dxa"/>
            <w:tcBorders>
              <w:bottom w:val="single" w:sz="4" w:space="0" w:color="auto"/>
            </w:tcBorders>
            <w:shd w:val="clear" w:color="auto" w:fill="E0E0E0"/>
            <w:vAlign w:val="center"/>
          </w:tcPr>
          <w:p w14:paraId="4B9CF304" w14:textId="77777777" w:rsidR="00291C18" w:rsidRPr="00AF0E2E" w:rsidRDefault="00291C18" w:rsidP="00404E8C">
            <w:pPr>
              <w:rPr>
                <w:rFonts w:cs="Times New Roman"/>
                <w:b/>
                <w:sz w:val="22"/>
                <w:szCs w:val="22"/>
              </w:rPr>
            </w:pPr>
            <w:r w:rsidRPr="00AF0E2E">
              <w:rPr>
                <w:rFonts w:cs="Times New Roman"/>
                <w:b/>
                <w:sz w:val="22"/>
                <w:szCs w:val="22"/>
              </w:rPr>
              <w:t>Investor Base</w:t>
            </w:r>
          </w:p>
        </w:tc>
        <w:tc>
          <w:tcPr>
            <w:tcW w:w="1117" w:type="dxa"/>
            <w:tcBorders>
              <w:bottom w:val="single" w:sz="4" w:space="0" w:color="auto"/>
            </w:tcBorders>
            <w:shd w:val="clear" w:color="auto" w:fill="E0E0E0"/>
            <w:vAlign w:val="center"/>
          </w:tcPr>
          <w:p w14:paraId="5F23C24F" w14:textId="77777777" w:rsidR="00291C18" w:rsidRPr="007259A9" w:rsidRDefault="00291C18" w:rsidP="00404E8C">
            <w:pPr>
              <w:jc w:val="center"/>
              <w:rPr>
                <w:rFonts w:cs="Times New Roman"/>
                <w:b/>
              </w:rPr>
            </w:pPr>
          </w:p>
        </w:tc>
        <w:tc>
          <w:tcPr>
            <w:tcW w:w="1055" w:type="dxa"/>
            <w:tcBorders>
              <w:bottom w:val="single" w:sz="4" w:space="0" w:color="auto"/>
            </w:tcBorders>
            <w:shd w:val="clear" w:color="auto" w:fill="E0E0E0"/>
            <w:vAlign w:val="center"/>
          </w:tcPr>
          <w:p w14:paraId="79E23314" w14:textId="77777777" w:rsidR="00291C18" w:rsidRPr="007259A9" w:rsidRDefault="00291C18" w:rsidP="00404E8C">
            <w:pPr>
              <w:jc w:val="center"/>
              <w:rPr>
                <w:rFonts w:cs="Times New Roman"/>
                <w:b/>
              </w:rPr>
            </w:pPr>
          </w:p>
        </w:tc>
        <w:tc>
          <w:tcPr>
            <w:tcW w:w="865" w:type="dxa"/>
            <w:tcBorders>
              <w:bottom w:val="single" w:sz="4" w:space="0" w:color="auto"/>
            </w:tcBorders>
            <w:shd w:val="clear" w:color="auto" w:fill="E0E0E0"/>
            <w:vAlign w:val="center"/>
          </w:tcPr>
          <w:p w14:paraId="75CE730F" w14:textId="77777777" w:rsidR="00291C18" w:rsidRPr="00AF0E2E" w:rsidRDefault="00291C18" w:rsidP="00404E8C">
            <w:pPr>
              <w:rPr>
                <w:rFonts w:cs="Times New Roman"/>
                <w:b/>
                <w:sz w:val="22"/>
                <w:szCs w:val="22"/>
              </w:rPr>
            </w:pPr>
          </w:p>
        </w:tc>
      </w:tr>
      <w:tr w:rsidR="00291C18" w:rsidRPr="00071DD2" w14:paraId="773A1953" w14:textId="77777777" w:rsidTr="00404E8C">
        <w:trPr>
          <w:jc w:val="center"/>
        </w:trPr>
        <w:tc>
          <w:tcPr>
            <w:tcW w:w="5945" w:type="dxa"/>
            <w:shd w:val="clear" w:color="auto" w:fill="auto"/>
            <w:vAlign w:val="center"/>
          </w:tcPr>
          <w:p w14:paraId="688D977C" w14:textId="77777777" w:rsidR="00291C18" w:rsidRPr="00AF0E2E" w:rsidRDefault="00291C18" w:rsidP="00404E8C">
            <w:pPr>
              <w:jc w:val="both"/>
              <w:rPr>
                <w:rFonts w:cs="Times New Roman"/>
                <w:b/>
                <w:sz w:val="22"/>
                <w:szCs w:val="22"/>
              </w:rPr>
            </w:pPr>
            <w:r>
              <w:rPr>
                <w:rFonts w:cs="Times New Roman"/>
                <w:sz w:val="22"/>
                <w:szCs w:val="22"/>
              </w:rPr>
              <w:t>I</w:t>
            </w:r>
            <w:r w:rsidRPr="00920FCA">
              <w:rPr>
                <w:rFonts w:cs="Times New Roman"/>
                <w:sz w:val="22"/>
                <w:szCs w:val="22"/>
              </w:rPr>
              <w:t xml:space="preserve">nvestors targeted to develop, promote, and provide access into the local market should be retail customers, corporate entities, </w:t>
            </w:r>
            <w:r>
              <w:rPr>
                <w:rFonts w:cs="Times New Roman"/>
                <w:sz w:val="22"/>
                <w:szCs w:val="22"/>
              </w:rPr>
              <w:t xml:space="preserve">insurance companies </w:t>
            </w:r>
            <w:r w:rsidRPr="00920FCA">
              <w:rPr>
                <w:rFonts w:cs="Times New Roman"/>
                <w:sz w:val="22"/>
                <w:szCs w:val="22"/>
              </w:rPr>
              <w:t>small and medium sized enterprises.</w:t>
            </w:r>
            <w:r>
              <w:rPr>
                <w:rFonts w:cs="Times New Roman"/>
                <w:sz w:val="22"/>
                <w:szCs w:val="22"/>
              </w:rPr>
              <w:t xml:space="preserve"> </w:t>
            </w:r>
            <w:r w:rsidRPr="00920FCA">
              <w:rPr>
                <w:rFonts w:cs="Times New Roman"/>
                <w:b/>
                <w:i/>
                <w:sz w:val="22"/>
                <w:szCs w:val="22"/>
              </w:rPr>
              <w:t>(Treasury, FMD, BPNG</w:t>
            </w:r>
            <w:r>
              <w:rPr>
                <w:rFonts w:cs="Times New Roman"/>
                <w:b/>
                <w:i/>
                <w:sz w:val="22"/>
                <w:szCs w:val="22"/>
              </w:rPr>
              <w:t>, DBMC</w:t>
            </w:r>
            <w:r w:rsidRPr="00920FCA">
              <w:rPr>
                <w:rFonts w:cs="Times New Roman"/>
                <w:b/>
                <w:i/>
                <w:sz w:val="22"/>
                <w:szCs w:val="22"/>
              </w:rPr>
              <w:t>)</w:t>
            </w:r>
          </w:p>
        </w:tc>
        <w:tc>
          <w:tcPr>
            <w:tcW w:w="1117" w:type="dxa"/>
            <w:shd w:val="clear" w:color="auto" w:fill="auto"/>
            <w:vAlign w:val="center"/>
          </w:tcPr>
          <w:p w14:paraId="1AF9574D" w14:textId="77777777" w:rsidR="00291C18" w:rsidRPr="007259A9" w:rsidRDefault="00291C18" w:rsidP="00404E8C">
            <w:pPr>
              <w:jc w:val="center"/>
              <w:rPr>
                <w:rFonts w:cs="Times New Roman"/>
                <w:b/>
              </w:rPr>
            </w:pPr>
            <w:r>
              <w:rPr>
                <w:rFonts w:cs="Times New Roman"/>
                <w:b/>
              </w:rPr>
              <w:t>H</w:t>
            </w:r>
          </w:p>
        </w:tc>
        <w:tc>
          <w:tcPr>
            <w:tcW w:w="1055" w:type="dxa"/>
            <w:shd w:val="clear" w:color="auto" w:fill="auto"/>
            <w:vAlign w:val="center"/>
          </w:tcPr>
          <w:p w14:paraId="6A96E3FC" w14:textId="77777777" w:rsidR="00291C18" w:rsidRPr="007259A9" w:rsidRDefault="00291C18" w:rsidP="00404E8C">
            <w:pPr>
              <w:jc w:val="center"/>
              <w:rPr>
                <w:rFonts w:cs="Times New Roman"/>
                <w:b/>
              </w:rPr>
            </w:pPr>
            <w:r>
              <w:rPr>
                <w:rFonts w:cs="Times New Roman"/>
                <w:b/>
              </w:rPr>
              <w:t>MT</w:t>
            </w:r>
          </w:p>
        </w:tc>
        <w:tc>
          <w:tcPr>
            <w:tcW w:w="865" w:type="dxa"/>
            <w:shd w:val="clear" w:color="auto" w:fill="auto"/>
            <w:vAlign w:val="center"/>
          </w:tcPr>
          <w:p w14:paraId="39B53189" w14:textId="77777777" w:rsidR="00291C18" w:rsidRPr="00AF0E2E" w:rsidRDefault="00291C18" w:rsidP="00404E8C">
            <w:pPr>
              <w:rPr>
                <w:rFonts w:cs="Times New Roman"/>
                <w:b/>
                <w:sz w:val="22"/>
                <w:szCs w:val="22"/>
              </w:rPr>
            </w:pPr>
          </w:p>
        </w:tc>
      </w:tr>
      <w:tr w:rsidR="00291C18" w:rsidRPr="00071DD2" w14:paraId="77A21266" w14:textId="77777777" w:rsidTr="00404E8C">
        <w:trPr>
          <w:jc w:val="center"/>
        </w:trPr>
        <w:tc>
          <w:tcPr>
            <w:tcW w:w="5945" w:type="dxa"/>
            <w:shd w:val="clear" w:color="auto" w:fill="auto"/>
            <w:vAlign w:val="center"/>
          </w:tcPr>
          <w:p w14:paraId="0AEA8D13" w14:textId="77777777" w:rsidR="00291C18" w:rsidRPr="00AF0E2E" w:rsidRDefault="00291C18" w:rsidP="00404E8C">
            <w:pPr>
              <w:jc w:val="both"/>
              <w:rPr>
                <w:rFonts w:cs="Times New Roman"/>
                <w:b/>
                <w:sz w:val="22"/>
                <w:szCs w:val="22"/>
              </w:rPr>
            </w:pPr>
            <w:r>
              <w:rPr>
                <w:rFonts w:cs="Times New Roman"/>
                <w:sz w:val="22"/>
                <w:szCs w:val="22"/>
              </w:rPr>
              <w:t>A</w:t>
            </w:r>
            <w:r w:rsidRPr="00920FCA">
              <w:rPr>
                <w:rFonts w:cs="Times New Roman"/>
                <w:sz w:val="22"/>
                <w:szCs w:val="22"/>
              </w:rPr>
              <w:t xml:space="preserve">ttract non-residents investors into the PNG government </w:t>
            </w:r>
            <w:r w:rsidRPr="00920FCA">
              <w:rPr>
                <w:rFonts w:cs="Times New Roman"/>
                <w:sz w:val="22"/>
                <w:szCs w:val="22"/>
              </w:rPr>
              <w:lastRenderedPageBreak/>
              <w:t xml:space="preserve">securities market by automating </w:t>
            </w:r>
            <w:r>
              <w:rPr>
                <w:rFonts w:cs="Times New Roman"/>
                <w:sz w:val="22"/>
                <w:szCs w:val="22"/>
              </w:rPr>
              <w:t xml:space="preserve">the primary market auction, settlement, and CSD. </w:t>
            </w:r>
            <w:r w:rsidRPr="00920FCA">
              <w:rPr>
                <w:rFonts w:cs="Times New Roman"/>
                <w:b/>
                <w:i/>
                <w:sz w:val="22"/>
                <w:szCs w:val="22"/>
              </w:rPr>
              <w:t>(Treasury, FMD, BPNG</w:t>
            </w:r>
            <w:r>
              <w:rPr>
                <w:rFonts w:cs="Times New Roman"/>
                <w:b/>
                <w:i/>
                <w:sz w:val="22"/>
                <w:szCs w:val="22"/>
              </w:rPr>
              <w:t>, DBMC</w:t>
            </w:r>
            <w:r w:rsidRPr="00920FCA">
              <w:rPr>
                <w:rFonts w:cs="Times New Roman"/>
                <w:b/>
                <w:i/>
                <w:sz w:val="22"/>
                <w:szCs w:val="22"/>
              </w:rPr>
              <w:t>)</w:t>
            </w:r>
          </w:p>
        </w:tc>
        <w:tc>
          <w:tcPr>
            <w:tcW w:w="1117" w:type="dxa"/>
            <w:shd w:val="clear" w:color="auto" w:fill="auto"/>
            <w:vAlign w:val="center"/>
          </w:tcPr>
          <w:p w14:paraId="6332D88F" w14:textId="77777777" w:rsidR="00291C18" w:rsidRPr="007259A9" w:rsidRDefault="00291C18" w:rsidP="00404E8C">
            <w:pPr>
              <w:jc w:val="center"/>
              <w:rPr>
                <w:rFonts w:cs="Times New Roman"/>
                <w:b/>
              </w:rPr>
            </w:pPr>
            <w:r>
              <w:rPr>
                <w:rFonts w:cs="Times New Roman"/>
                <w:b/>
              </w:rPr>
              <w:lastRenderedPageBreak/>
              <w:t>H</w:t>
            </w:r>
          </w:p>
        </w:tc>
        <w:tc>
          <w:tcPr>
            <w:tcW w:w="1055" w:type="dxa"/>
            <w:shd w:val="clear" w:color="auto" w:fill="auto"/>
            <w:vAlign w:val="center"/>
          </w:tcPr>
          <w:p w14:paraId="30AACACE" w14:textId="77777777" w:rsidR="00291C18" w:rsidRPr="007259A9" w:rsidRDefault="00291C18" w:rsidP="00404E8C">
            <w:pPr>
              <w:jc w:val="center"/>
              <w:rPr>
                <w:rFonts w:cs="Times New Roman"/>
                <w:b/>
              </w:rPr>
            </w:pPr>
            <w:r>
              <w:rPr>
                <w:rFonts w:cs="Times New Roman"/>
                <w:b/>
              </w:rPr>
              <w:t>ST</w:t>
            </w:r>
          </w:p>
        </w:tc>
        <w:tc>
          <w:tcPr>
            <w:tcW w:w="865" w:type="dxa"/>
            <w:shd w:val="clear" w:color="auto" w:fill="auto"/>
            <w:vAlign w:val="center"/>
          </w:tcPr>
          <w:p w14:paraId="2333070C" w14:textId="77777777" w:rsidR="00291C18" w:rsidRPr="00AF0E2E" w:rsidRDefault="00291C18" w:rsidP="00404E8C">
            <w:pPr>
              <w:rPr>
                <w:rFonts w:cs="Times New Roman"/>
                <w:b/>
                <w:sz w:val="22"/>
                <w:szCs w:val="22"/>
              </w:rPr>
            </w:pPr>
          </w:p>
        </w:tc>
      </w:tr>
      <w:tr w:rsidR="00291C18" w:rsidRPr="00071DD2" w14:paraId="656DDAE0" w14:textId="77777777" w:rsidTr="00404E8C">
        <w:trPr>
          <w:jc w:val="center"/>
        </w:trPr>
        <w:tc>
          <w:tcPr>
            <w:tcW w:w="5945" w:type="dxa"/>
            <w:shd w:val="clear" w:color="auto" w:fill="auto"/>
            <w:vAlign w:val="center"/>
          </w:tcPr>
          <w:p w14:paraId="1FA8D85B" w14:textId="77777777" w:rsidR="00291C18" w:rsidRDefault="00291C18" w:rsidP="00404E8C">
            <w:pPr>
              <w:jc w:val="both"/>
              <w:rPr>
                <w:rFonts w:cs="Times New Roman"/>
                <w:sz w:val="22"/>
                <w:szCs w:val="22"/>
              </w:rPr>
            </w:pPr>
            <w:r w:rsidRPr="00920FCA">
              <w:rPr>
                <w:rFonts w:cs="Times New Roman"/>
                <w:sz w:val="22"/>
                <w:szCs w:val="22"/>
              </w:rPr>
              <w:lastRenderedPageBreak/>
              <w:t>Registered bidders such as banks and brokers should act as intermediaries</w:t>
            </w:r>
            <w:r>
              <w:rPr>
                <w:rFonts w:cs="Times New Roman"/>
                <w:sz w:val="22"/>
                <w:szCs w:val="22"/>
              </w:rPr>
              <w:t xml:space="preserve">. </w:t>
            </w:r>
            <w:r w:rsidRPr="00920FCA">
              <w:rPr>
                <w:rFonts w:cs="Times New Roman"/>
                <w:b/>
                <w:i/>
                <w:sz w:val="22"/>
                <w:szCs w:val="22"/>
              </w:rPr>
              <w:t>(Treasury, FMD, BPNG</w:t>
            </w:r>
            <w:r>
              <w:rPr>
                <w:rFonts w:cs="Times New Roman"/>
                <w:b/>
                <w:i/>
                <w:sz w:val="22"/>
                <w:szCs w:val="22"/>
              </w:rPr>
              <w:t>, DBMC</w:t>
            </w:r>
            <w:r w:rsidRPr="00920FCA">
              <w:rPr>
                <w:rFonts w:cs="Times New Roman"/>
                <w:b/>
                <w:i/>
                <w:sz w:val="22"/>
                <w:szCs w:val="22"/>
              </w:rPr>
              <w:t>)</w:t>
            </w:r>
          </w:p>
        </w:tc>
        <w:tc>
          <w:tcPr>
            <w:tcW w:w="1117" w:type="dxa"/>
            <w:shd w:val="clear" w:color="auto" w:fill="auto"/>
            <w:vAlign w:val="center"/>
          </w:tcPr>
          <w:p w14:paraId="2B80D3EE" w14:textId="77777777" w:rsidR="00291C18" w:rsidRDefault="00291C18" w:rsidP="00404E8C">
            <w:pPr>
              <w:jc w:val="center"/>
              <w:rPr>
                <w:rFonts w:cs="Times New Roman"/>
                <w:b/>
              </w:rPr>
            </w:pPr>
            <w:r>
              <w:rPr>
                <w:rFonts w:cs="Times New Roman"/>
                <w:b/>
              </w:rPr>
              <w:t>M</w:t>
            </w:r>
          </w:p>
        </w:tc>
        <w:tc>
          <w:tcPr>
            <w:tcW w:w="1055" w:type="dxa"/>
            <w:shd w:val="clear" w:color="auto" w:fill="auto"/>
            <w:vAlign w:val="center"/>
          </w:tcPr>
          <w:p w14:paraId="084F2622" w14:textId="77777777" w:rsidR="00291C18" w:rsidRDefault="00291C18" w:rsidP="00404E8C">
            <w:pPr>
              <w:jc w:val="center"/>
              <w:rPr>
                <w:rFonts w:cs="Times New Roman"/>
                <w:b/>
              </w:rPr>
            </w:pPr>
            <w:r>
              <w:rPr>
                <w:rFonts w:cs="Times New Roman"/>
                <w:b/>
              </w:rPr>
              <w:t>MT</w:t>
            </w:r>
          </w:p>
        </w:tc>
        <w:tc>
          <w:tcPr>
            <w:tcW w:w="865" w:type="dxa"/>
            <w:shd w:val="clear" w:color="auto" w:fill="auto"/>
            <w:vAlign w:val="center"/>
          </w:tcPr>
          <w:p w14:paraId="5F76A391" w14:textId="77777777" w:rsidR="00291C18" w:rsidRPr="00AF0E2E" w:rsidRDefault="00291C18" w:rsidP="00404E8C">
            <w:pPr>
              <w:rPr>
                <w:rFonts w:cs="Times New Roman"/>
                <w:b/>
                <w:sz w:val="22"/>
                <w:szCs w:val="22"/>
              </w:rPr>
            </w:pPr>
          </w:p>
        </w:tc>
      </w:tr>
      <w:tr w:rsidR="00291C18" w:rsidRPr="00071DD2" w14:paraId="3711E207" w14:textId="77777777" w:rsidTr="00404E8C">
        <w:trPr>
          <w:jc w:val="center"/>
        </w:trPr>
        <w:tc>
          <w:tcPr>
            <w:tcW w:w="5945" w:type="dxa"/>
            <w:shd w:val="clear" w:color="auto" w:fill="auto"/>
            <w:vAlign w:val="center"/>
          </w:tcPr>
          <w:p w14:paraId="42729E1D" w14:textId="77777777" w:rsidR="00291C18" w:rsidRPr="00AF0E2E" w:rsidRDefault="00291C18" w:rsidP="00404E8C">
            <w:pPr>
              <w:jc w:val="both"/>
              <w:rPr>
                <w:rFonts w:cs="Times New Roman"/>
                <w:b/>
                <w:sz w:val="22"/>
                <w:szCs w:val="22"/>
              </w:rPr>
            </w:pPr>
            <w:r w:rsidRPr="00920FCA">
              <w:rPr>
                <w:rFonts w:cs="Times New Roman"/>
                <w:sz w:val="22"/>
                <w:szCs w:val="22"/>
              </w:rPr>
              <w:t>Establish and promote pools of liquidity in the form of market funds to purchase domestic debt securities in the primary and secondary market</w:t>
            </w:r>
            <w:r>
              <w:rPr>
                <w:rFonts w:cs="Times New Roman"/>
                <w:sz w:val="22"/>
                <w:szCs w:val="22"/>
              </w:rPr>
              <w:t xml:space="preserve">. </w:t>
            </w:r>
            <w:r w:rsidRPr="00920FCA">
              <w:rPr>
                <w:rFonts w:cs="Times New Roman"/>
                <w:b/>
                <w:i/>
                <w:sz w:val="22"/>
                <w:szCs w:val="22"/>
              </w:rPr>
              <w:t>(Treasury, FMD, BPNG</w:t>
            </w:r>
            <w:r>
              <w:rPr>
                <w:rFonts w:cs="Times New Roman"/>
                <w:b/>
                <w:i/>
                <w:sz w:val="22"/>
                <w:szCs w:val="22"/>
              </w:rPr>
              <w:t>, DBMC</w:t>
            </w:r>
            <w:r w:rsidRPr="00920FCA">
              <w:rPr>
                <w:rFonts w:cs="Times New Roman"/>
                <w:b/>
                <w:i/>
                <w:sz w:val="22"/>
                <w:szCs w:val="22"/>
              </w:rPr>
              <w:t>)</w:t>
            </w:r>
          </w:p>
        </w:tc>
        <w:tc>
          <w:tcPr>
            <w:tcW w:w="1117" w:type="dxa"/>
            <w:shd w:val="clear" w:color="auto" w:fill="auto"/>
            <w:vAlign w:val="center"/>
          </w:tcPr>
          <w:p w14:paraId="4228971A" w14:textId="77777777" w:rsidR="00291C18" w:rsidRPr="007259A9" w:rsidRDefault="00291C18" w:rsidP="00404E8C">
            <w:pPr>
              <w:jc w:val="center"/>
              <w:rPr>
                <w:rFonts w:cs="Times New Roman"/>
                <w:b/>
              </w:rPr>
            </w:pPr>
            <w:r>
              <w:rPr>
                <w:rFonts w:cs="Times New Roman"/>
                <w:b/>
              </w:rPr>
              <w:t>M</w:t>
            </w:r>
          </w:p>
        </w:tc>
        <w:tc>
          <w:tcPr>
            <w:tcW w:w="1055" w:type="dxa"/>
            <w:shd w:val="clear" w:color="auto" w:fill="auto"/>
            <w:vAlign w:val="center"/>
          </w:tcPr>
          <w:p w14:paraId="2A398EBF" w14:textId="77777777" w:rsidR="00291C18" w:rsidRPr="007259A9" w:rsidRDefault="00291C18" w:rsidP="00404E8C">
            <w:pPr>
              <w:jc w:val="center"/>
              <w:rPr>
                <w:rFonts w:cs="Times New Roman"/>
                <w:b/>
              </w:rPr>
            </w:pPr>
            <w:r>
              <w:rPr>
                <w:rFonts w:cs="Times New Roman"/>
                <w:b/>
              </w:rPr>
              <w:t>LT</w:t>
            </w:r>
          </w:p>
        </w:tc>
        <w:tc>
          <w:tcPr>
            <w:tcW w:w="865" w:type="dxa"/>
            <w:shd w:val="clear" w:color="auto" w:fill="auto"/>
            <w:vAlign w:val="center"/>
          </w:tcPr>
          <w:p w14:paraId="7D26081B" w14:textId="77777777" w:rsidR="00291C18" w:rsidRPr="00AF0E2E" w:rsidRDefault="00291C18" w:rsidP="00404E8C">
            <w:pPr>
              <w:rPr>
                <w:rFonts w:cs="Times New Roman"/>
                <w:b/>
                <w:sz w:val="22"/>
                <w:szCs w:val="22"/>
              </w:rPr>
            </w:pPr>
          </w:p>
        </w:tc>
      </w:tr>
      <w:tr w:rsidR="00291C18" w:rsidRPr="00071DD2" w14:paraId="4BF92D9B" w14:textId="77777777" w:rsidTr="00404E8C">
        <w:trPr>
          <w:jc w:val="center"/>
        </w:trPr>
        <w:tc>
          <w:tcPr>
            <w:tcW w:w="5945" w:type="dxa"/>
            <w:shd w:val="clear" w:color="auto" w:fill="auto"/>
            <w:vAlign w:val="center"/>
          </w:tcPr>
          <w:p w14:paraId="441907E0" w14:textId="77777777" w:rsidR="00291C18" w:rsidRPr="00920FCA" w:rsidRDefault="00291C18" w:rsidP="00404E8C">
            <w:pPr>
              <w:jc w:val="both"/>
              <w:rPr>
                <w:rFonts w:cs="Times New Roman"/>
                <w:sz w:val="22"/>
                <w:szCs w:val="22"/>
              </w:rPr>
            </w:pPr>
            <w:r>
              <w:rPr>
                <w:rFonts w:cs="Times New Roman"/>
                <w:sz w:val="22"/>
                <w:szCs w:val="22"/>
              </w:rPr>
              <w:t>F</w:t>
            </w:r>
            <w:r w:rsidRPr="00E33845">
              <w:rPr>
                <w:rFonts w:cs="Times New Roman"/>
                <w:sz w:val="22"/>
                <w:szCs w:val="22"/>
              </w:rPr>
              <w:t>actor into domestic debt issuance planning the in</w:t>
            </w:r>
            <w:r>
              <w:rPr>
                <w:rFonts w:cs="Times New Roman"/>
                <w:sz w:val="22"/>
                <w:szCs w:val="22"/>
              </w:rPr>
              <w:t xml:space="preserve">vestor base habitat </w:t>
            </w:r>
            <w:r w:rsidRPr="00E33845">
              <w:rPr>
                <w:rFonts w:cs="Times New Roman"/>
                <w:sz w:val="22"/>
                <w:szCs w:val="22"/>
              </w:rPr>
              <w:t>and the demands that exist along the yield curve spectrum from each different class of investors.</w:t>
            </w:r>
            <w:r>
              <w:rPr>
                <w:rFonts w:cs="Times New Roman"/>
                <w:sz w:val="22"/>
                <w:szCs w:val="22"/>
              </w:rPr>
              <w:t xml:space="preserve"> </w:t>
            </w:r>
            <w:r w:rsidRPr="00E33845">
              <w:rPr>
                <w:rFonts w:cs="Times New Roman"/>
                <w:b/>
                <w:i/>
                <w:sz w:val="22"/>
                <w:szCs w:val="22"/>
              </w:rPr>
              <w:t>(Treasury, FMD, BPNG)</w:t>
            </w:r>
          </w:p>
        </w:tc>
        <w:tc>
          <w:tcPr>
            <w:tcW w:w="1117" w:type="dxa"/>
            <w:shd w:val="clear" w:color="auto" w:fill="auto"/>
            <w:vAlign w:val="center"/>
          </w:tcPr>
          <w:p w14:paraId="0F4FF458" w14:textId="77777777" w:rsidR="00291C18" w:rsidRDefault="00291C18" w:rsidP="00404E8C">
            <w:pPr>
              <w:jc w:val="center"/>
              <w:rPr>
                <w:rFonts w:cs="Times New Roman"/>
                <w:b/>
              </w:rPr>
            </w:pPr>
            <w:r>
              <w:rPr>
                <w:rFonts w:cs="Times New Roman"/>
                <w:b/>
              </w:rPr>
              <w:t>M</w:t>
            </w:r>
          </w:p>
        </w:tc>
        <w:tc>
          <w:tcPr>
            <w:tcW w:w="1055" w:type="dxa"/>
            <w:shd w:val="clear" w:color="auto" w:fill="auto"/>
            <w:vAlign w:val="center"/>
          </w:tcPr>
          <w:p w14:paraId="095D90E4" w14:textId="77777777" w:rsidR="00291C18" w:rsidRDefault="00291C18" w:rsidP="00404E8C">
            <w:pPr>
              <w:jc w:val="center"/>
              <w:rPr>
                <w:rFonts w:cs="Times New Roman"/>
                <w:b/>
              </w:rPr>
            </w:pPr>
            <w:r>
              <w:rPr>
                <w:rFonts w:cs="Times New Roman"/>
                <w:b/>
              </w:rPr>
              <w:t>MT</w:t>
            </w:r>
          </w:p>
        </w:tc>
        <w:tc>
          <w:tcPr>
            <w:tcW w:w="865" w:type="dxa"/>
            <w:shd w:val="clear" w:color="auto" w:fill="auto"/>
            <w:vAlign w:val="center"/>
          </w:tcPr>
          <w:p w14:paraId="658C21CA" w14:textId="77777777" w:rsidR="00291C18" w:rsidRPr="00AF0E2E" w:rsidRDefault="00291C18" w:rsidP="00404E8C">
            <w:pPr>
              <w:rPr>
                <w:rFonts w:cs="Times New Roman"/>
                <w:b/>
                <w:sz w:val="22"/>
                <w:szCs w:val="22"/>
              </w:rPr>
            </w:pPr>
          </w:p>
        </w:tc>
      </w:tr>
      <w:tr w:rsidR="00291C18" w:rsidRPr="00071DD2" w14:paraId="681F9F88" w14:textId="77777777" w:rsidTr="00404E8C">
        <w:trPr>
          <w:jc w:val="center"/>
        </w:trPr>
        <w:tc>
          <w:tcPr>
            <w:tcW w:w="5945" w:type="dxa"/>
            <w:shd w:val="clear" w:color="auto" w:fill="auto"/>
            <w:vAlign w:val="center"/>
          </w:tcPr>
          <w:p w14:paraId="31576A60" w14:textId="77777777" w:rsidR="00291C18" w:rsidRDefault="00291C18" w:rsidP="00404E8C">
            <w:pPr>
              <w:jc w:val="both"/>
              <w:rPr>
                <w:rFonts w:cs="Times New Roman"/>
                <w:sz w:val="22"/>
                <w:szCs w:val="22"/>
              </w:rPr>
            </w:pPr>
            <w:r>
              <w:rPr>
                <w:rFonts w:cs="Times New Roman"/>
                <w:sz w:val="22"/>
                <w:szCs w:val="22"/>
              </w:rPr>
              <w:t>T</w:t>
            </w:r>
            <w:r w:rsidRPr="00BD429A">
              <w:rPr>
                <w:rFonts w:cs="Times New Roman"/>
                <w:sz w:val="22"/>
                <w:szCs w:val="22"/>
              </w:rPr>
              <w:t>ake the same approach; to the previous paragraph, but with the view, in the medium-term, to promote and facilitate the potential domestic issuance of private sector corporates and SOE fixed income securities</w:t>
            </w:r>
            <w:r>
              <w:rPr>
                <w:rFonts w:cs="Times New Roman"/>
                <w:sz w:val="22"/>
                <w:szCs w:val="22"/>
              </w:rPr>
              <w:t xml:space="preserve">. </w:t>
            </w:r>
            <w:r w:rsidRPr="00E33845">
              <w:rPr>
                <w:rFonts w:cs="Times New Roman"/>
                <w:b/>
                <w:i/>
                <w:sz w:val="22"/>
                <w:szCs w:val="22"/>
              </w:rPr>
              <w:t>(Treasury, FMD, BPNG)</w:t>
            </w:r>
          </w:p>
        </w:tc>
        <w:tc>
          <w:tcPr>
            <w:tcW w:w="1117" w:type="dxa"/>
            <w:shd w:val="clear" w:color="auto" w:fill="auto"/>
            <w:vAlign w:val="center"/>
          </w:tcPr>
          <w:p w14:paraId="0198C144" w14:textId="77777777" w:rsidR="00291C18" w:rsidRDefault="00291C18" w:rsidP="00404E8C">
            <w:pPr>
              <w:jc w:val="center"/>
              <w:rPr>
                <w:rFonts w:cs="Times New Roman"/>
                <w:b/>
              </w:rPr>
            </w:pPr>
            <w:r>
              <w:rPr>
                <w:rFonts w:cs="Times New Roman"/>
                <w:b/>
              </w:rPr>
              <w:t>M</w:t>
            </w:r>
          </w:p>
        </w:tc>
        <w:tc>
          <w:tcPr>
            <w:tcW w:w="1055" w:type="dxa"/>
            <w:shd w:val="clear" w:color="auto" w:fill="auto"/>
            <w:vAlign w:val="center"/>
          </w:tcPr>
          <w:p w14:paraId="5C3AFFC1" w14:textId="77777777" w:rsidR="00291C18" w:rsidRDefault="00291C18" w:rsidP="00404E8C">
            <w:pPr>
              <w:jc w:val="center"/>
              <w:rPr>
                <w:rFonts w:cs="Times New Roman"/>
                <w:b/>
              </w:rPr>
            </w:pPr>
            <w:r>
              <w:rPr>
                <w:rFonts w:cs="Times New Roman"/>
                <w:b/>
              </w:rPr>
              <w:t>MT</w:t>
            </w:r>
          </w:p>
        </w:tc>
        <w:tc>
          <w:tcPr>
            <w:tcW w:w="865" w:type="dxa"/>
            <w:shd w:val="clear" w:color="auto" w:fill="auto"/>
            <w:vAlign w:val="center"/>
          </w:tcPr>
          <w:p w14:paraId="5E7275D7" w14:textId="77777777" w:rsidR="00291C18" w:rsidRPr="00AF0E2E" w:rsidRDefault="00291C18" w:rsidP="00404E8C">
            <w:pPr>
              <w:rPr>
                <w:rFonts w:cs="Times New Roman"/>
                <w:b/>
                <w:sz w:val="22"/>
                <w:szCs w:val="22"/>
              </w:rPr>
            </w:pPr>
          </w:p>
        </w:tc>
      </w:tr>
      <w:tr w:rsidR="00291C18" w:rsidRPr="00071DD2" w14:paraId="48189F53" w14:textId="77777777" w:rsidTr="00404E8C">
        <w:trPr>
          <w:jc w:val="center"/>
        </w:trPr>
        <w:tc>
          <w:tcPr>
            <w:tcW w:w="5945" w:type="dxa"/>
            <w:shd w:val="clear" w:color="auto" w:fill="E0E0E0"/>
            <w:vAlign w:val="center"/>
          </w:tcPr>
          <w:p w14:paraId="203809DD" w14:textId="77777777" w:rsidR="00291C18" w:rsidRPr="00AF0E2E" w:rsidRDefault="00291C18" w:rsidP="00404E8C">
            <w:pPr>
              <w:rPr>
                <w:rFonts w:cs="Times New Roman"/>
                <w:b/>
                <w:sz w:val="22"/>
                <w:szCs w:val="22"/>
              </w:rPr>
            </w:pPr>
            <w:r w:rsidRPr="00AF0E2E">
              <w:rPr>
                <w:rFonts w:cs="Times New Roman"/>
                <w:b/>
                <w:sz w:val="22"/>
                <w:szCs w:val="22"/>
              </w:rPr>
              <w:t>Secondary Market</w:t>
            </w:r>
          </w:p>
        </w:tc>
        <w:tc>
          <w:tcPr>
            <w:tcW w:w="1117" w:type="dxa"/>
            <w:shd w:val="clear" w:color="auto" w:fill="E0E0E0"/>
            <w:vAlign w:val="center"/>
          </w:tcPr>
          <w:p w14:paraId="20DF1484" w14:textId="77777777" w:rsidR="00291C18" w:rsidRPr="007259A9" w:rsidRDefault="00291C18" w:rsidP="00404E8C">
            <w:pPr>
              <w:jc w:val="center"/>
              <w:rPr>
                <w:rFonts w:cs="Times New Roman"/>
                <w:b/>
              </w:rPr>
            </w:pPr>
          </w:p>
        </w:tc>
        <w:tc>
          <w:tcPr>
            <w:tcW w:w="1055" w:type="dxa"/>
            <w:shd w:val="clear" w:color="auto" w:fill="E0E0E0"/>
            <w:vAlign w:val="center"/>
          </w:tcPr>
          <w:p w14:paraId="2922CC65" w14:textId="77777777" w:rsidR="00291C18" w:rsidRPr="007259A9" w:rsidRDefault="00291C18" w:rsidP="00404E8C">
            <w:pPr>
              <w:jc w:val="center"/>
              <w:rPr>
                <w:rFonts w:cs="Times New Roman"/>
                <w:b/>
              </w:rPr>
            </w:pPr>
          </w:p>
        </w:tc>
        <w:tc>
          <w:tcPr>
            <w:tcW w:w="865" w:type="dxa"/>
            <w:shd w:val="clear" w:color="auto" w:fill="E0E0E0"/>
            <w:vAlign w:val="center"/>
          </w:tcPr>
          <w:p w14:paraId="3707FA43" w14:textId="77777777" w:rsidR="00291C18" w:rsidRPr="00AF0E2E" w:rsidRDefault="00291C18" w:rsidP="00404E8C">
            <w:pPr>
              <w:rPr>
                <w:rFonts w:cs="Times New Roman"/>
                <w:b/>
                <w:sz w:val="22"/>
                <w:szCs w:val="22"/>
              </w:rPr>
            </w:pPr>
          </w:p>
        </w:tc>
      </w:tr>
      <w:tr w:rsidR="00291C18" w:rsidRPr="00D80090" w14:paraId="0174AF48" w14:textId="77777777" w:rsidTr="00404E8C">
        <w:trPr>
          <w:jc w:val="center"/>
        </w:trPr>
        <w:tc>
          <w:tcPr>
            <w:tcW w:w="5945" w:type="dxa"/>
          </w:tcPr>
          <w:p w14:paraId="73A51BD3" w14:textId="77777777" w:rsidR="00291C18" w:rsidRPr="00AF0E2E" w:rsidRDefault="00291C18" w:rsidP="00404E8C">
            <w:pPr>
              <w:jc w:val="both"/>
              <w:rPr>
                <w:rFonts w:cs="Times New Roman"/>
                <w:sz w:val="22"/>
                <w:szCs w:val="22"/>
              </w:rPr>
            </w:pPr>
            <w:r>
              <w:rPr>
                <w:rFonts w:cs="Times New Roman"/>
                <w:sz w:val="22"/>
                <w:szCs w:val="22"/>
              </w:rPr>
              <w:t>A</w:t>
            </w:r>
            <w:r w:rsidRPr="00920FCA">
              <w:rPr>
                <w:rFonts w:cs="Times New Roman"/>
                <w:sz w:val="22"/>
                <w:szCs w:val="22"/>
              </w:rPr>
              <w:t>dequately sized T-bill and Government Inscribed Stock benchmarks</w:t>
            </w:r>
            <w:r>
              <w:rPr>
                <w:rFonts w:cs="Times New Roman"/>
                <w:sz w:val="22"/>
                <w:szCs w:val="22"/>
              </w:rPr>
              <w:t>,</w:t>
            </w:r>
            <w:r w:rsidRPr="00920FCA">
              <w:rPr>
                <w:rFonts w:cs="Times New Roman"/>
                <w:sz w:val="22"/>
                <w:szCs w:val="22"/>
              </w:rPr>
              <w:t xml:space="preserve"> which appropriately match the maturity interests of the institutional investor base</w:t>
            </w:r>
            <w:r>
              <w:rPr>
                <w:rFonts w:cs="Times New Roman"/>
                <w:sz w:val="22"/>
                <w:szCs w:val="22"/>
              </w:rPr>
              <w:t xml:space="preserve">. </w:t>
            </w:r>
            <w:r w:rsidRPr="00E111C5">
              <w:rPr>
                <w:rFonts w:cs="Times New Roman"/>
                <w:b/>
                <w:i/>
                <w:sz w:val="22"/>
                <w:szCs w:val="22"/>
              </w:rPr>
              <w:t>(</w:t>
            </w:r>
            <w:r>
              <w:rPr>
                <w:rFonts w:cs="Times New Roman"/>
                <w:b/>
                <w:i/>
                <w:sz w:val="22"/>
                <w:szCs w:val="22"/>
              </w:rPr>
              <w:t xml:space="preserve">Treasury &amp; </w:t>
            </w:r>
            <w:r w:rsidRPr="00E111C5">
              <w:rPr>
                <w:rFonts w:cs="Times New Roman"/>
                <w:b/>
                <w:i/>
                <w:sz w:val="22"/>
                <w:szCs w:val="22"/>
              </w:rPr>
              <w:t>FMD)</w:t>
            </w:r>
          </w:p>
        </w:tc>
        <w:tc>
          <w:tcPr>
            <w:tcW w:w="1117" w:type="dxa"/>
            <w:vAlign w:val="center"/>
          </w:tcPr>
          <w:p w14:paraId="20296457" w14:textId="77777777" w:rsidR="00291C18" w:rsidRPr="007259A9" w:rsidRDefault="00291C18" w:rsidP="00404E8C">
            <w:pPr>
              <w:jc w:val="center"/>
              <w:rPr>
                <w:rFonts w:cs="Times New Roman"/>
                <w:b/>
              </w:rPr>
            </w:pPr>
            <w:r>
              <w:rPr>
                <w:rFonts w:cs="Times New Roman"/>
                <w:b/>
              </w:rPr>
              <w:t>H</w:t>
            </w:r>
          </w:p>
        </w:tc>
        <w:tc>
          <w:tcPr>
            <w:tcW w:w="1055" w:type="dxa"/>
            <w:vAlign w:val="center"/>
          </w:tcPr>
          <w:p w14:paraId="6EFB2CA7" w14:textId="77777777" w:rsidR="00291C18" w:rsidRPr="007259A9" w:rsidRDefault="00291C18" w:rsidP="00404E8C">
            <w:pPr>
              <w:jc w:val="center"/>
              <w:rPr>
                <w:rFonts w:cs="Times New Roman"/>
                <w:b/>
              </w:rPr>
            </w:pPr>
            <w:r>
              <w:rPr>
                <w:rFonts w:cs="Times New Roman"/>
                <w:b/>
              </w:rPr>
              <w:t>MT</w:t>
            </w:r>
          </w:p>
        </w:tc>
        <w:tc>
          <w:tcPr>
            <w:tcW w:w="865" w:type="dxa"/>
            <w:vAlign w:val="center"/>
          </w:tcPr>
          <w:p w14:paraId="34ECF4B6" w14:textId="77777777" w:rsidR="00291C18" w:rsidRPr="00AF0E2E" w:rsidRDefault="00291C18" w:rsidP="00404E8C">
            <w:pPr>
              <w:jc w:val="center"/>
              <w:rPr>
                <w:rFonts w:cs="Times New Roman"/>
                <w:sz w:val="22"/>
                <w:szCs w:val="22"/>
              </w:rPr>
            </w:pPr>
          </w:p>
        </w:tc>
      </w:tr>
      <w:tr w:rsidR="00291C18" w:rsidRPr="00D80090" w14:paraId="124545B3" w14:textId="77777777" w:rsidTr="00404E8C">
        <w:trPr>
          <w:jc w:val="center"/>
        </w:trPr>
        <w:tc>
          <w:tcPr>
            <w:tcW w:w="5945" w:type="dxa"/>
          </w:tcPr>
          <w:p w14:paraId="7475035E" w14:textId="77777777" w:rsidR="00291C18" w:rsidRDefault="00291C18" w:rsidP="00404E8C">
            <w:pPr>
              <w:jc w:val="both"/>
              <w:rPr>
                <w:rFonts w:cs="Times New Roman"/>
                <w:sz w:val="22"/>
                <w:szCs w:val="22"/>
              </w:rPr>
            </w:pPr>
            <w:r w:rsidRPr="00920FCA">
              <w:rPr>
                <w:rFonts w:cs="Times New Roman"/>
                <w:sz w:val="22"/>
                <w:szCs w:val="22"/>
              </w:rPr>
              <w:t>Master Repurchase Agreement (MRA). To ensure market integrity the master agreement terms and conditions sets out standards for margining, accounting, and relevant requirements.</w:t>
            </w:r>
            <w:r>
              <w:rPr>
                <w:rFonts w:cs="Times New Roman"/>
                <w:sz w:val="22"/>
                <w:szCs w:val="22"/>
              </w:rPr>
              <w:t xml:space="preserve"> </w:t>
            </w:r>
            <w:r w:rsidRPr="00E111C5">
              <w:rPr>
                <w:rFonts w:cs="Times New Roman"/>
                <w:b/>
                <w:i/>
                <w:sz w:val="22"/>
                <w:szCs w:val="22"/>
              </w:rPr>
              <w:t>(BPNG)</w:t>
            </w:r>
          </w:p>
        </w:tc>
        <w:tc>
          <w:tcPr>
            <w:tcW w:w="1117" w:type="dxa"/>
            <w:vAlign w:val="center"/>
          </w:tcPr>
          <w:p w14:paraId="480F1F6A" w14:textId="77777777" w:rsidR="00291C18" w:rsidRDefault="00291C18" w:rsidP="00404E8C">
            <w:pPr>
              <w:jc w:val="center"/>
              <w:rPr>
                <w:rFonts w:cs="Times New Roman"/>
                <w:b/>
              </w:rPr>
            </w:pPr>
            <w:r>
              <w:rPr>
                <w:rFonts w:cs="Times New Roman"/>
                <w:b/>
              </w:rPr>
              <w:t>H</w:t>
            </w:r>
          </w:p>
        </w:tc>
        <w:tc>
          <w:tcPr>
            <w:tcW w:w="1055" w:type="dxa"/>
            <w:vAlign w:val="center"/>
          </w:tcPr>
          <w:p w14:paraId="07350B0A" w14:textId="77777777" w:rsidR="00291C18" w:rsidRDefault="00291C18" w:rsidP="00404E8C">
            <w:pPr>
              <w:jc w:val="center"/>
              <w:rPr>
                <w:rFonts w:cs="Times New Roman"/>
                <w:b/>
              </w:rPr>
            </w:pPr>
            <w:r>
              <w:rPr>
                <w:rFonts w:cs="Times New Roman"/>
                <w:b/>
              </w:rPr>
              <w:t>ST</w:t>
            </w:r>
          </w:p>
        </w:tc>
        <w:tc>
          <w:tcPr>
            <w:tcW w:w="865" w:type="dxa"/>
            <w:vAlign w:val="center"/>
          </w:tcPr>
          <w:p w14:paraId="18F536D5" w14:textId="77777777" w:rsidR="00291C18" w:rsidRPr="00AF0E2E" w:rsidRDefault="00291C18" w:rsidP="00404E8C">
            <w:pPr>
              <w:jc w:val="center"/>
              <w:rPr>
                <w:rFonts w:cs="Times New Roman"/>
                <w:sz w:val="22"/>
                <w:szCs w:val="22"/>
              </w:rPr>
            </w:pPr>
          </w:p>
        </w:tc>
      </w:tr>
      <w:tr w:rsidR="00291C18" w:rsidRPr="00D80090" w14:paraId="7722F6B5" w14:textId="77777777" w:rsidTr="00404E8C">
        <w:trPr>
          <w:jc w:val="center"/>
        </w:trPr>
        <w:tc>
          <w:tcPr>
            <w:tcW w:w="5945" w:type="dxa"/>
          </w:tcPr>
          <w:p w14:paraId="068F9FF9" w14:textId="77777777" w:rsidR="00291C18" w:rsidRDefault="00291C18" w:rsidP="00404E8C">
            <w:pPr>
              <w:jc w:val="both"/>
              <w:rPr>
                <w:rFonts w:cs="Times New Roman"/>
                <w:sz w:val="22"/>
                <w:szCs w:val="22"/>
              </w:rPr>
            </w:pPr>
            <w:r w:rsidRPr="00920FCA">
              <w:rPr>
                <w:rFonts w:cs="Times New Roman"/>
                <w:sz w:val="22"/>
                <w:szCs w:val="22"/>
              </w:rPr>
              <w:t>Repurchase agreement procedures, standards, and code of conduct must be set out</w:t>
            </w:r>
            <w:r>
              <w:rPr>
                <w:rFonts w:cs="Times New Roman"/>
                <w:sz w:val="22"/>
                <w:szCs w:val="22"/>
              </w:rPr>
              <w:t xml:space="preserve">. </w:t>
            </w:r>
            <w:r w:rsidRPr="00E111C5">
              <w:rPr>
                <w:rFonts w:cs="Times New Roman"/>
                <w:b/>
                <w:i/>
                <w:sz w:val="22"/>
                <w:szCs w:val="22"/>
              </w:rPr>
              <w:t>(BPNG)</w:t>
            </w:r>
          </w:p>
        </w:tc>
        <w:tc>
          <w:tcPr>
            <w:tcW w:w="1117" w:type="dxa"/>
            <w:vAlign w:val="center"/>
          </w:tcPr>
          <w:p w14:paraId="4EF8D2EC" w14:textId="77777777" w:rsidR="00291C18" w:rsidRDefault="00291C18" w:rsidP="00404E8C">
            <w:pPr>
              <w:jc w:val="center"/>
              <w:rPr>
                <w:rFonts w:cs="Times New Roman"/>
                <w:b/>
              </w:rPr>
            </w:pPr>
            <w:r>
              <w:rPr>
                <w:rFonts w:cs="Times New Roman"/>
                <w:b/>
              </w:rPr>
              <w:t>H</w:t>
            </w:r>
          </w:p>
        </w:tc>
        <w:tc>
          <w:tcPr>
            <w:tcW w:w="1055" w:type="dxa"/>
            <w:vAlign w:val="center"/>
          </w:tcPr>
          <w:p w14:paraId="3AC07BCE" w14:textId="77777777" w:rsidR="00291C18" w:rsidRDefault="00291C18" w:rsidP="00404E8C">
            <w:pPr>
              <w:jc w:val="center"/>
              <w:rPr>
                <w:rFonts w:cs="Times New Roman"/>
                <w:b/>
              </w:rPr>
            </w:pPr>
            <w:r>
              <w:rPr>
                <w:rFonts w:cs="Times New Roman"/>
                <w:b/>
              </w:rPr>
              <w:t>ST</w:t>
            </w:r>
          </w:p>
        </w:tc>
        <w:tc>
          <w:tcPr>
            <w:tcW w:w="865" w:type="dxa"/>
            <w:vAlign w:val="center"/>
          </w:tcPr>
          <w:p w14:paraId="055A6009" w14:textId="77777777" w:rsidR="00291C18" w:rsidRPr="00AF0E2E" w:rsidRDefault="00291C18" w:rsidP="00404E8C">
            <w:pPr>
              <w:jc w:val="center"/>
              <w:rPr>
                <w:rFonts w:cs="Times New Roman"/>
                <w:sz w:val="22"/>
                <w:szCs w:val="22"/>
              </w:rPr>
            </w:pPr>
          </w:p>
        </w:tc>
      </w:tr>
      <w:tr w:rsidR="00291C18" w:rsidRPr="00D80090" w14:paraId="57CC7896" w14:textId="77777777" w:rsidTr="00404E8C">
        <w:trPr>
          <w:trHeight w:val="260"/>
          <w:jc w:val="center"/>
        </w:trPr>
        <w:tc>
          <w:tcPr>
            <w:tcW w:w="5945" w:type="dxa"/>
          </w:tcPr>
          <w:p w14:paraId="135F7BDC" w14:textId="77777777" w:rsidR="00291C18" w:rsidRPr="00AF0E2E" w:rsidRDefault="00291C18" w:rsidP="00404E8C">
            <w:pPr>
              <w:jc w:val="both"/>
              <w:rPr>
                <w:rFonts w:cs="Times New Roman"/>
                <w:sz w:val="22"/>
                <w:szCs w:val="22"/>
              </w:rPr>
            </w:pPr>
            <w:r>
              <w:rPr>
                <w:rFonts w:cs="Times New Roman"/>
                <w:sz w:val="22"/>
                <w:szCs w:val="22"/>
              </w:rPr>
              <w:t>Allow</w:t>
            </w:r>
            <w:r w:rsidRPr="00920FCA">
              <w:rPr>
                <w:rFonts w:cs="Times New Roman"/>
                <w:sz w:val="22"/>
                <w:szCs w:val="22"/>
              </w:rPr>
              <w:t xml:space="preserve"> intermediaries, banks and brokers, to provide primary dealer market making functions for price discovery and trade execution in exchange for dealer privileges</w:t>
            </w:r>
            <w:r>
              <w:rPr>
                <w:rFonts w:cs="Times New Roman"/>
                <w:sz w:val="22"/>
                <w:szCs w:val="22"/>
              </w:rPr>
              <w:t xml:space="preserve">. </w:t>
            </w:r>
            <w:r w:rsidRPr="00E111C5">
              <w:rPr>
                <w:rFonts w:cs="Times New Roman"/>
                <w:b/>
                <w:i/>
                <w:sz w:val="22"/>
                <w:szCs w:val="22"/>
              </w:rPr>
              <w:t>(Treasury, FDM, BPNG)</w:t>
            </w:r>
          </w:p>
        </w:tc>
        <w:tc>
          <w:tcPr>
            <w:tcW w:w="1117" w:type="dxa"/>
            <w:vAlign w:val="center"/>
          </w:tcPr>
          <w:p w14:paraId="511F755F" w14:textId="77777777" w:rsidR="00291C18" w:rsidRPr="007259A9" w:rsidRDefault="00291C18" w:rsidP="00404E8C">
            <w:pPr>
              <w:jc w:val="center"/>
              <w:rPr>
                <w:rFonts w:cs="Times New Roman"/>
                <w:b/>
              </w:rPr>
            </w:pPr>
            <w:r>
              <w:rPr>
                <w:rFonts w:cs="Times New Roman"/>
                <w:b/>
              </w:rPr>
              <w:t>M</w:t>
            </w:r>
          </w:p>
        </w:tc>
        <w:tc>
          <w:tcPr>
            <w:tcW w:w="1055" w:type="dxa"/>
            <w:vAlign w:val="center"/>
          </w:tcPr>
          <w:p w14:paraId="3EE69E2B" w14:textId="77777777" w:rsidR="00291C18" w:rsidRPr="007259A9" w:rsidRDefault="00291C18" w:rsidP="00404E8C">
            <w:pPr>
              <w:jc w:val="center"/>
              <w:rPr>
                <w:rFonts w:cs="Times New Roman"/>
                <w:b/>
              </w:rPr>
            </w:pPr>
            <w:r>
              <w:rPr>
                <w:rFonts w:cs="Times New Roman"/>
                <w:b/>
              </w:rPr>
              <w:t>MT</w:t>
            </w:r>
          </w:p>
        </w:tc>
        <w:tc>
          <w:tcPr>
            <w:tcW w:w="865" w:type="dxa"/>
            <w:vAlign w:val="center"/>
          </w:tcPr>
          <w:p w14:paraId="304EBD9A" w14:textId="77777777" w:rsidR="00291C18" w:rsidRPr="00AF0E2E" w:rsidRDefault="00291C18" w:rsidP="00404E8C">
            <w:pPr>
              <w:jc w:val="center"/>
              <w:rPr>
                <w:rFonts w:cs="Times New Roman"/>
                <w:sz w:val="22"/>
                <w:szCs w:val="22"/>
              </w:rPr>
            </w:pPr>
          </w:p>
        </w:tc>
      </w:tr>
      <w:tr w:rsidR="00291C18" w:rsidRPr="00D80090" w14:paraId="7121D5CA" w14:textId="77777777" w:rsidTr="00404E8C">
        <w:trPr>
          <w:trHeight w:val="260"/>
          <w:jc w:val="center"/>
        </w:trPr>
        <w:tc>
          <w:tcPr>
            <w:tcW w:w="5945" w:type="dxa"/>
          </w:tcPr>
          <w:p w14:paraId="5A3B02CF" w14:textId="77777777" w:rsidR="00291C18" w:rsidRDefault="00291C18" w:rsidP="00404E8C">
            <w:pPr>
              <w:jc w:val="both"/>
              <w:rPr>
                <w:rFonts w:cs="Times New Roman"/>
                <w:sz w:val="22"/>
                <w:szCs w:val="22"/>
              </w:rPr>
            </w:pPr>
            <w:r>
              <w:rPr>
                <w:rFonts w:cs="Times New Roman"/>
                <w:sz w:val="22"/>
                <w:szCs w:val="22"/>
              </w:rPr>
              <w:t>D</w:t>
            </w:r>
            <w:r w:rsidRPr="00BD429A">
              <w:rPr>
                <w:rFonts w:cs="Times New Roman"/>
                <w:sz w:val="22"/>
                <w:szCs w:val="22"/>
              </w:rPr>
              <w:t>evelop and promote the expansion of the investor base to include: institutions, private sector corporates, insurance companies, SMEs, retail, and non-resident investors</w:t>
            </w:r>
            <w:r>
              <w:t xml:space="preserve">. </w:t>
            </w:r>
            <w:r w:rsidRPr="00E111C5">
              <w:rPr>
                <w:rFonts w:cs="Times New Roman"/>
                <w:b/>
                <w:i/>
                <w:sz w:val="22"/>
                <w:szCs w:val="22"/>
              </w:rPr>
              <w:t>(Treasury, FDM, BPNG)</w:t>
            </w:r>
          </w:p>
        </w:tc>
        <w:tc>
          <w:tcPr>
            <w:tcW w:w="1117" w:type="dxa"/>
            <w:vAlign w:val="center"/>
          </w:tcPr>
          <w:p w14:paraId="24E7A3C1" w14:textId="77777777" w:rsidR="00291C18" w:rsidRDefault="00291C18" w:rsidP="00404E8C">
            <w:pPr>
              <w:jc w:val="center"/>
              <w:rPr>
                <w:rFonts w:cs="Times New Roman"/>
                <w:b/>
              </w:rPr>
            </w:pPr>
            <w:r>
              <w:rPr>
                <w:rFonts w:cs="Times New Roman"/>
                <w:b/>
              </w:rPr>
              <w:t>H</w:t>
            </w:r>
          </w:p>
        </w:tc>
        <w:tc>
          <w:tcPr>
            <w:tcW w:w="1055" w:type="dxa"/>
            <w:vAlign w:val="center"/>
          </w:tcPr>
          <w:p w14:paraId="6581F3CF" w14:textId="77777777" w:rsidR="00291C18" w:rsidRDefault="00291C18" w:rsidP="00404E8C">
            <w:pPr>
              <w:jc w:val="center"/>
              <w:rPr>
                <w:rFonts w:cs="Times New Roman"/>
                <w:b/>
              </w:rPr>
            </w:pPr>
            <w:r>
              <w:rPr>
                <w:rFonts w:cs="Times New Roman"/>
                <w:b/>
              </w:rPr>
              <w:t>MT</w:t>
            </w:r>
          </w:p>
        </w:tc>
        <w:tc>
          <w:tcPr>
            <w:tcW w:w="865" w:type="dxa"/>
            <w:vAlign w:val="center"/>
          </w:tcPr>
          <w:p w14:paraId="45733E17" w14:textId="77777777" w:rsidR="00291C18" w:rsidRPr="00AF0E2E" w:rsidRDefault="00291C18" w:rsidP="00404E8C">
            <w:pPr>
              <w:jc w:val="center"/>
              <w:rPr>
                <w:rFonts w:cs="Times New Roman"/>
                <w:sz w:val="22"/>
                <w:szCs w:val="22"/>
              </w:rPr>
            </w:pPr>
          </w:p>
        </w:tc>
      </w:tr>
      <w:tr w:rsidR="00291C18" w:rsidRPr="00D80090" w14:paraId="19C97136" w14:textId="77777777" w:rsidTr="00404E8C">
        <w:trPr>
          <w:jc w:val="center"/>
        </w:trPr>
        <w:tc>
          <w:tcPr>
            <w:tcW w:w="5945" w:type="dxa"/>
          </w:tcPr>
          <w:p w14:paraId="3A1393A1" w14:textId="77777777" w:rsidR="00291C18" w:rsidRPr="00AF0E2E" w:rsidRDefault="00291C18" w:rsidP="00404E8C">
            <w:pPr>
              <w:jc w:val="both"/>
              <w:rPr>
                <w:rFonts w:cs="Times New Roman"/>
                <w:sz w:val="22"/>
                <w:szCs w:val="22"/>
              </w:rPr>
            </w:pPr>
            <w:r>
              <w:rPr>
                <w:rFonts w:cs="Times New Roman"/>
                <w:sz w:val="22"/>
                <w:szCs w:val="22"/>
              </w:rPr>
              <w:t>E</w:t>
            </w:r>
            <w:r w:rsidRPr="00920FCA">
              <w:rPr>
                <w:rFonts w:cs="Times New Roman"/>
                <w:sz w:val="22"/>
                <w:szCs w:val="22"/>
              </w:rPr>
              <w:t xml:space="preserve">stablish market </w:t>
            </w:r>
            <w:r>
              <w:rPr>
                <w:rFonts w:cs="Times New Roman"/>
                <w:sz w:val="22"/>
                <w:szCs w:val="22"/>
              </w:rPr>
              <w:t xml:space="preserve">code of conduct, </w:t>
            </w:r>
            <w:r w:rsidRPr="00920FCA">
              <w:rPr>
                <w:rFonts w:cs="Times New Roman"/>
                <w:sz w:val="22"/>
                <w:szCs w:val="22"/>
              </w:rPr>
              <w:t>conventions and standards for intermediaries executing trades between dealer-to-client and dealer-to-dealer in the secondary market</w:t>
            </w:r>
            <w:r>
              <w:rPr>
                <w:rFonts w:cs="Times New Roman"/>
                <w:sz w:val="22"/>
                <w:szCs w:val="22"/>
              </w:rPr>
              <w:t xml:space="preserve">. </w:t>
            </w:r>
            <w:r w:rsidRPr="00E111C5">
              <w:rPr>
                <w:rFonts w:cs="Times New Roman"/>
                <w:b/>
                <w:i/>
                <w:sz w:val="22"/>
                <w:szCs w:val="22"/>
              </w:rPr>
              <w:t>(BPNG)</w:t>
            </w:r>
          </w:p>
        </w:tc>
        <w:tc>
          <w:tcPr>
            <w:tcW w:w="1117" w:type="dxa"/>
            <w:vAlign w:val="center"/>
          </w:tcPr>
          <w:p w14:paraId="1C135B09" w14:textId="77777777" w:rsidR="00291C18" w:rsidRPr="007259A9" w:rsidRDefault="00291C18" w:rsidP="00404E8C">
            <w:pPr>
              <w:jc w:val="center"/>
              <w:rPr>
                <w:rFonts w:cs="Times New Roman"/>
                <w:b/>
              </w:rPr>
            </w:pPr>
            <w:r>
              <w:rPr>
                <w:rFonts w:cs="Times New Roman"/>
                <w:b/>
              </w:rPr>
              <w:t>M</w:t>
            </w:r>
          </w:p>
        </w:tc>
        <w:tc>
          <w:tcPr>
            <w:tcW w:w="1055" w:type="dxa"/>
            <w:vAlign w:val="center"/>
          </w:tcPr>
          <w:p w14:paraId="2D98300D" w14:textId="77777777" w:rsidR="00291C18" w:rsidRPr="007259A9" w:rsidRDefault="00291C18" w:rsidP="00404E8C">
            <w:pPr>
              <w:jc w:val="center"/>
              <w:rPr>
                <w:rFonts w:cs="Times New Roman"/>
                <w:b/>
              </w:rPr>
            </w:pPr>
            <w:r>
              <w:rPr>
                <w:rFonts w:cs="Times New Roman"/>
                <w:b/>
              </w:rPr>
              <w:t>MT</w:t>
            </w:r>
          </w:p>
        </w:tc>
        <w:tc>
          <w:tcPr>
            <w:tcW w:w="865" w:type="dxa"/>
            <w:vAlign w:val="center"/>
          </w:tcPr>
          <w:p w14:paraId="42783D03" w14:textId="77777777" w:rsidR="00291C18" w:rsidRPr="00AF0E2E" w:rsidRDefault="00291C18" w:rsidP="00404E8C">
            <w:pPr>
              <w:jc w:val="center"/>
              <w:rPr>
                <w:rFonts w:cs="Times New Roman"/>
                <w:sz w:val="22"/>
                <w:szCs w:val="22"/>
              </w:rPr>
            </w:pPr>
          </w:p>
        </w:tc>
      </w:tr>
      <w:tr w:rsidR="00291C18" w:rsidRPr="00D80090" w14:paraId="7412733B" w14:textId="77777777" w:rsidTr="00404E8C">
        <w:trPr>
          <w:jc w:val="center"/>
        </w:trPr>
        <w:tc>
          <w:tcPr>
            <w:tcW w:w="5945" w:type="dxa"/>
            <w:tcBorders>
              <w:bottom w:val="single" w:sz="4" w:space="0" w:color="auto"/>
            </w:tcBorders>
          </w:tcPr>
          <w:p w14:paraId="6008E547" w14:textId="77777777" w:rsidR="00291C18" w:rsidRPr="00AF0E2E" w:rsidRDefault="00291C18" w:rsidP="00404E8C">
            <w:pPr>
              <w:jc w:val="both"/>
              <w:rPr>
                <w:rFonts w:cs="Times New Roman"/>
                <w:sz w:val="22"/>
                <w:szCs w:val="22"/>
              </w:rPr>
            </w:pPr>
            <w:r w:rsidRPr="00920FCA">
              <w:rPr>
                <w:rFonts w:cs="Times New Roman"/>
                <w:sz w:val="22"/>
                <w:szCs w:val="22"/>
              </w:rPr>
              <w:t>Transparency is enhanced by requirements for timely and accurate reporting of secondary market transactions in the OTC market</w:t>
            </w:r>
            <w:r>
              <w:rPr>
                <w:rFonts w:cs="Times New Roman"/>
                <w:sz w:val="22"/>
                <w:szCs w:val="22"/>
              </w:rPr>
              <w:t xml:space="preserve"> and data dissemination.  </w:t>
            </w:r>
            <w:r w:rsidRPr="00E111C5">
              <w:rPr>
                <w:rFonts w:cs="Times New Roman"/>
                <w:b/>
                <w:i/>
                <w:sz w:val="22"/>
                <w:szCs w:val="22"/>
              </w:rPr>
              <w:t>(BPNG)</w:t>
            </w:r>
          </w:p>
        </w:tc>
        <w:tc>
          <w:tcPr>
            <w:tcW w:w="1117" w:type="dxa"/>
            <w:tcBorders>
              <w:bottom w:val="single" w:sz="4" w:space="0" w:color="auto"/>
            </w:tcBorders>
            <w:vAlign w:val="center"/>
          </w:tcPr>
          <w:p w14:paraId="5050CBA1" w14:textId="77777777" w:rsidR="00291C18" w:rsidRPr="007259A9" w:rsidRDefault="00291C18" w:rsidP="00404E8C">
            <w:pPr>
              <w:jc w:val="center"/>
              <w:rPr>
                <w:rFonts w:cs="Times New Roman"/>
                <w:b/>
              </w:rPr>
            </w:pPr>
            <w:r>
              <w:rPr>
                <w:rFonts w:cs="Times New Roman"/>
                <w:b/>
              </w:rPr>
              <w:t>M</w:t>
            </w:r>
          </w:p>
        </w:tc>
        <w:tc>
          <w:tcPr>
            <w:tcW w:w="1055" w:type="dxa"/>
            <w:tcBorders>
              <w:bottom w:val="single" w:sz="4" w:space="0" w:color="auto"/>
            </w:tcBorders>
            <w:vAlign w:val="center"/>
          </w:tcPr>
          <w:p w14:paraId="46A0BC79" w14:textId="77777777" w:rsidR="00291C18" w:rsidRPr="007259A9" w:rsidRDefault="00291C18" w:rsidP="00404E8C">
            <w:pPr>
              <w:jc w:val="center"/>
              <w:rPr>
                <w:rFonts w:cs="Times New Roman"/>
                <w:b/>
              </w:rPr>
            </w:pPr>
            <w:r>
              <w:rPr>
                <w:rFonts w:cs="Times New Roman"/>
                <w:b/>
              </w:rPr>
              <w:t>LT</w:t>
            </w:r>
          </w:p>
        </w:tc>
        <w:tc>
          <w:tcPr>
            <w:tcW w:w="865" w:type="dxa"/>
            <w:tcBorders>
              <w:bottom w:val="single" w:sz="4" w:space="0" w:color="auto"/>
            </w:tcBorders>
            <w:vAlign w:val="center"/>
          </w:tcPr>
          <w:p w14:paraId="1F6B57C2" w14:textId="77777777" w:rsidR="00291C18" w:rsidRPr="00AF0E2E" w:rsidRDefault="00291C18" w:rsidP="00404E8C">
            <w:pPr>
              <w:jc w:val="center"/>
              <w:rPr>
                <w:rFonts w:cs="Times New Roman"/>
                <w:sz w:val="22"/>
                <w:szCs w:val="22"/>
              </w:rPr>
            </w:pPr>
          </w:p>
        </w:tc>
      </w:tr>
      <w:tr w:rsidR="00291C18" w:rsidRPr="00D80090" w14:paraId="36EDC4C5" w14:textId="77777777" w:rsidTr="00404E8C">
        <w:trPr>
          <w:jc w:val="center"/>
        </w:trPr>
        <w:tc>
          <w:tcPr>
            <w:tcW w:w="5945" w:type="dxa"/>
            <w:tcBorders>
              <w:bottom w:val="single" w:sz="4" w:space="0" w:color="auto"/>
            </w:tcBorders>
          </w:tcPr>
          <w:p w14:paraId="02DBA2C3" w14:textId="77777777" w:rsidR="00291C18" w:rsidRDefault="00291C18" w:rsidP="00404E8C">
            <w:pPr>
              <w:tabs>
                <w:tab w:val="left" w:pos="3344"/>
              </w:tabs>
              <w:jc w:val="both"/>
              <w:rPr>
                <w:rFonts w:cs="Times New Roman"/>
                <w:sz w:val="22"/>
                <w:szCs w:val="22"/>
              </w:rPr>
            </w:pPr>
            <w:r>
              <w:rPr>
                <w:rFonts w:cs="Times New Roman"/>
                <w:sz w:val="22"/>
                <w:szCs w:val="22"/>
              </w:rPr>
              <w:t>C</w:t>
            </w:r>
            <w:r w:rsidRPr="00920FCA">
              <w:rPr>
                <w:rFonts w:cs="Times New Roman"/>
                <w:sz w:val="22"/>
                <w:szCs w:val="22"/>
              </w:rPr>
              <w:t>ontinuous develop of robust settlement and custodial systems</w:t>
            </w:r>
            <w:r>
              <w:rPr>
                <w:rFonts w:cs="Times New Roman"/>
                <w:sz w:val="22"/>
                <w:szCs w:val="22"/>
              </w:rPr>
              <w:t xml:space="preserve">. </w:t>
            </w:r>
            <w:r w:rsidRPr="00E111C5">
              <w:rPr>
                <w:rFonts w:cs="Times New Roman"/>
                <w:b/>
                <w:i/>
                <w:sz w:val="22"/>
                <w:szCs w:val="22"/>
              </w:rPr>
              <w:t>(BPNG)</w:t>
            </w:r>
          </w:p>
        </w:tc>
        <w:tc>
          <w:tcPr>
            <w:tcW w:w="1117" w:type="dxa"/>
            <w:tcBorders>
              <w:bottom w:val="single" w:sz="4" w:space="0" w:color="auto"/>
            </w:tcBorders>
            <w:vAlign w:val="center"/>
          </w:tcPr>
          <w:p w14:paraId="3EFFBDED" w14:textId="77777777" w:rsidR="00291C18" w:rsidRPr="007259A9" w:rsidRDefault="00291C18" w:rsidP="00404E8C">
            <w:pPr>
              <w:jc w:val="center"/>
              <w:rPr>
                <w:rFonts w:cs="Times New Roman"/>
                <w:b/>
              </w:rPr>
            </w:pPr>
            <w:r>
              <w:rPr>
                <w:rFonts w:cs="Times New Roman"/>
                <w:b/>
              </w:rPr>
              <w:t>H</w:t>
            </w:r>
          </w:p>
        </w:tc>
        <w:tc>
          <w:tcPr>
            <w:tcW w:w="1055" w:type="dxa"/>
            <w:tcBorders>
              <w:bottom w:val="single" w:sz="4" w:space="0" w:color="auto"/>
            </w:tcBorders>
            <w:vAlign w:val="center"/>
          </w:tcPr>
          <w:p w14:paraId="7425F195" w14:textId="77777777" w:rsidR="00291C18" w:rsidRPr="007259A9" w:rsidRDefault="00291C18" w:rsidP="00404E8C">
            <w:pPr>
              <w:jc w:val="center"/>
              <w:rPr>
                <w:rFonts w:cs="Times New Roman"/>
                <w:b/>
              </w:rPr>
            </w:pPr>
            <w:r>
              <w:rPr>
                <w:rFonts w:cs="Times New Roman"/>
                <w:b/>
              </w:rPr>
              <w:t>MT</w:t>
            </w:r>
          </w:p>
        </w:tc>
        <w:tc>
          <w:tcPr>
            <w:tcW w:w="865" w:type="dxa"/>
            <w:tcBorders>
              <w:bottom w:val="single" w:sz="4" w:space="0" w:color="auto"/>
            </w:tcBorders>
            <w:vAlign w:val="center"/>
          </w:tcPr>
          <w:p w14:paraId="6EB1D2B8" w14:textId="77777777" w:rsidR="00291C18" w:rsidRPr="00AF0E2E" w:rsidRDefault="00291C18" w:rsidP="00404E8C">
            <w:pPr>
              <w:jc w:val="center"/>
              <w:rPr>
                <w:rFonts w:cs="Times New Roman"/>
                <w:sz w:val="22"/>
                <w:szCs w:val="22"/>
              </w:rPr>
            </w:pPr>
          </w:p>
        </w:tc>
      </w:tr>
      <w:tr w:rsidR="00291C18" w:rsidRPr="00D80090" w14:paraId="154292CD" w14:textId="77777777" w:rsidTr="00404E8C">
        <w:trPr>
          <w:trHeight w:val="233"/>
          <w:jc w:val="center"/>
        </w:trPr>
        <w:tc>
          <w:tcPr>
            <w:tcW w:w="5945" w:type="dxa"/>
            <w:tcBorders>
              <w:bottom w:val="single" w:sz="4" w:space="0" w:color="auto"/>
            </w:tcBorders>
            <w:shd w:val="clear" w:color="auto" w:fill="E0E0E0"/>
          </w:tcPr>
          <w:p w14:paraId="5AA29102" w14:textId="77777777" w:rsidR="00291C18" w:rsidRPr="00C74DF8" w:rsidRDefault="00291C18" w:rsidP="00404E8C">
            <w:pPr>
              <w:rPr>
                <w:rFonts w:ascii="Arial" w:hAnsi="Arial" w:cs="Arial"/>
                <w:b/>
                <w:sz w:val="20"/>
                <w:szCs w:val="20"/>
              </w:rPr>
            </w:pPr>
            <w:r w:rsidRPr="00C74DF8">
              <w:rPr>
                <w:rFonts w:ascii="Arial" w:hAnsi="Arial" w:cs="Arial"/>
                <w:b/>
                <w:sz w:val="20"/>
                <w:szCs w:val="20"/>
              </w:rPr>
              <w:t>Market Infrastructure</w:t>
            </w:r>
          </w:p>
        </w:tc>
        <w:tc>
          <w:tcPr>
            <w:tcW w:w="1117" w:type="dxa"/>
            <w:tcBorders>
              <w:bottom w:val="single" w:sz="4" w:space="0" w:color="auto"/>
            </w:tcBorders>
            <w:shd w:val="clear" w:color="auto" w:fill="E0E0E0"/>
            <w:vAlign w:val="center"/>
          </w:tcPr>
          <w:p w14:paraId="29A1D298" w14:textId="77777777" w:rsidR="00291C18" w:rsidRPr="007259A9" w:rsidRDefault="00291C18" w:rsidP="00404E8C">
            <w:pPr>
              <w:jc w:val="center"/>
              <w:rPr>
                <w:rFonts w:cs="Times New Roman"/>
                <w:b/>
              </w:rPr>
            </w:pPr>
          </w:p>
        </w:tc>
        <w:tc>
          <w:tcPr>
            <w:tcW w:w="1055" w:type="dxa"/>
            <w:tcBorders>
              <w:bottom w:val="single" w:sz="4" w:space="0" w:color="auto"/>
            </w:tcBorders>
            <w:shd w:val="clear" w:color="auto" w:fill="E0E0E0"/>
            <w:vAlign w:val="center"/>
          </w:tcPr>
          <w:p w14:paraId="4018D507" w14:textId="77777777" w:rsidR="00291C18" w:rsidRPr="007259A9" w:rsidRDefault="00291C18" w:rsidP="00404E8C">
            <w:pPr>
              <w:jc w:val="center"/>
              <w:rPr>
                <w:rFonts w:cs="Times New Roman"/>
                <w:b/>
              </w:rPr>
            </w:pPr>
          </w:p>
        </w:tc>
        <w:tc>
          <w:tcPr>
            <w:tcW w:w="865" w:type="dxa"/>
            <w:tcBorders>
              <w:bottom w:val="single" w:sz="4" w:space="0" w:color="auto"/>
            </w:tcBorders>
            <w:shd w:val="clear" w:color="auto" w:fill="E0E0E0"/>
            <w:vAlign w:val="center"/>
          </w:tcPr>
          <w:p w14:paraId="13B15625" w14:textId="77777777" w:rsidR="00291C18" w:rsidRPr="00D80090" w:rsidRDefault="00291C18" w:rsidP="00404E8C">
            <w:pPr>
              <w:jc w:val="center"/>
              <w:rPr>
                <w:rFonts w:ascii="Arial" w:hAnsi="Arial" w:cs="Arial"/>
                <w:sz w:val="20"/>
                <w:szCs w:val="20"/>
              </w:rPr>
            </w:pPr>
          </w:p>
        </w:tc>
      </w:tr>
      <w:tr w:rsidR="00291C18" w:rsidRPr="00D80090" w14:paraId="07047F53" w14:textId="77777777" w:rsidTr="00404E8C">
        <w:trPr>
          <w:trHeight w:val="233"/>
          <w:jc w:val="center"/>
        </w:trPr>
        <w:tc>
          <w:tcPr>
            <w:tcW w:w="5945" w:type="dxa"/>
            <w:shd w:val="clear" w:color="auto" w:fill="auto"/>
          </w:tcPr>
          <w:p w14:paraId="36066F48" w14:textId="77777777" w:rsidR="00291C18" w:rsidRPr="00C74DF8" w:rsidRDefault="00291C18" w:rsidP="00404E8C">
            <w:pPr>
              <w:rPr>
                <w:rFonts w:ascii="Arial" w:hAnsi="Arial" w:cs="Arial"/>
                <w:b/>
                <w:sz w:val="20"/>
                <w:szCs w:val="20"/>
              </w:rPr>
            </w:pPr>
            <w:r w:rsidRPr="00E111C5">
              <w:rPr>
                <w:rFonts w:cs="Times New Roman"/>
                <w:sz w:val="22"/>
                <w:szCs w:val="22"/>
              </w:rPr>
              <w:t>Establish an automated Central Securities Depository</w:t>
            </w:r>
            <w:r>
              <w:rPr>
                <w:rFonts w:cs="Times New Roman"/>
                <w:sz w:val="22"/>
                <w:szCs w:val="22"/>
              </w:rPr>
              <w:t xml:space="preserve"> </w:t>
            </w:r>
            <w:r w:rsidRPr="00E111C5">
              <w:rPr>
                <w:rFonts w:cs="Times New Roman"/>
                <w:sz w:val="22"/>
                <w:szCs w:val="22"/>
              </w:rPr>
              <w:t>(CSD) and automated clearing &amp; settlement</w:t>
            </w:r>
            <w:r>
              <w:rPr>
                <w:rFonts w:cs="Times New Roman"/>
                <w:sz w:val="22"/>
                <w:szCs w:val="22"/>
              </w:rPr>
              <w:t xml:space="preserve">. </w:t>
            </w:r>
            <w:r w:rsidRPr="00E111C5">
              <w:rPr>
                <w:rFonts w:cs="Times New Roman"/>
                <w:b/>
                <w:i/>
                <w:sz w:val="22"/>
                <w:szCs w:val="22"/>
              </w:rPr>
              <w:t>(BPNG)</w:t>
            </w:r>
          </w:p>
        </w:tc>
        <w:tc>
          <w:tcPr>
            <w:tcW w:w="1117" w:type="dxa"/>
            <w:shd w:val="clear" w:color="auto" w:fill="auto"/>
            <w:vAlign w:val="center"/>
          </w:tcPr>
          <w:p w14:paraId="2FE7E876" w14:textId="77777777" w:rsidR="00291C18" w:rsidRPr="007259A9" w:rsidRDefault="00291C18" w:rsidP="00404E8C">
            <w:pPr>
              <w:jc w:val="center"/>
              <w:rPr>
                <w:rFonts w:cs="Times New Roman"/>
                <w:b/>
              </w:rPr>
            </w:pPr>
            <w:r>
              <w:rPr>
                <w:rFonts w:cs="Times New Roman"/>
                <w:b/>
              </w:rPr>
              <w:t>H</w:t>
            </w:r>
          </w:p>
        </w:tc>
        <w:tc>
          <w:tcPr>
            <w:tcW w:w="1055" w:type="dxa"/>
            <w:shd w:val="clear" w:color="auto" w:fill="auto"/>
            <w:vAlign w:val="center"/>
          </w:tcPr>
          <w:p w14:paraId="6ECDBF65" w14:textId="77777777" w:rsidR="00291C18" w:rsidRPr="007259A9" w:rsidRDefault="00291C18" w:rsidP="00404E8C">
            <w:pPr>
              <w:jc w:val="center"/>
              <w:rPr>
                <w:rFonts w:cs="Times New Roman"/>
                <w:b/>
              </w:rPr>
            </w:pPr>
            <w:r>
              <w:rPr>
                <w:rFonts w:cs="Times New Roman"/>
                <w:b/>
              </w:rPr>
              <w:t>MT</w:t>
            </w:r>
          </w:p>
        </w:tc>
        <w:tc>
          <w:tcPr>
            <w:tcW w:w="865" w:type="dxa"/>
            <w:shd w:val="clear" w:color="auto" w:fill="auto"/>
            <w:vAlign w:val="center"/>
          </w:tcPr>
          <w:p w14:paraId="66347F4C" w14:textId="77777777" w:rsidR="00291C18" w:rsidRPr="00D80090" w:rsidRDefault="00291C18" w:rsidP="00404E8C">
            <w:pPr>
              <w:jc w:val="center"/>
              <w:rPr>
                <w:rFonts w:ascii="Arial" w:hAnsi="Arial" w:cs="Arial"/>
                <w:sz w:val="20"/>
                <w:szCs w:val="20"/>
              </w:rPr>
            </w:pPr>
          </w:p>
        </w:tc>
      </w:tr>
      <w:tr w:rsidR="00291C18" w:rsidRPr="00D80090" w14:paraId="58FB60EC" w14:textId="77777777" w:rsidTr="00404E8C">
        <w:trPr>
          <w:trHeight w:val="233"/>
          <w:jc w:val="center"/>
        </w:trPr>
        <w:tc>
          <w:tcPr>
            <w:tcW w:w="5945" w:type="dxa"/>
            <w:tcBorders>
              <w:bottom w:val="single" w:sz="4" w:space="0" w:color="auto"/>
            </w:tcBorders>
            <w:shd w:val="clear" w:color="auto" w:fill="auto"/>
          </w:tcPr>
          <w:p w14:paraId="5295382B" w14:textId="77777777" w:rsidR="00291C18" w:rsidRPr="00C74DF8" w:rsidRDefault="00291C18" w:rsidP="00404E8C">
            <w:pPr>
              <w:jc w:val="both"/>
              <w:rPr>
                <w:rFonts w:ascii="Arial" w:hAnsi="Arial" w:cs="Arial"/>
                <w:b/>
                <w:sz w:val="20"/>
                <w:szCs w:val="20"/>
              </w:rPr>
            </w:pPr>
            <w:r>
              <w:rPr>
                <w:rFonts w:cs="Times New Roman"/>
                <w:sz w:val="22"/>
                <w:szCs w:val="22"/>
              </w:rPr>
              <w:t>D</w:t>
            </w:r>
            <w:r w:rsidRPr="00E111C5">
              <w:rPr>
                <w:rFonts w:cs="Times New Roman"/>
                <w:sz w:val="22"/>
                <w:szCs w:val="22"/>
              </w:rPr>
              <w:t>ialogu</w:t>
            </w:r>
            <w:r>
              <w:rPr>
                <w:rFonts w:cs="Times New Roman"/>
                <w:sz w:val="22"/>
                <w:szCs w:val="22"/>
              </w:rPr>
              <w:t>e and evaluation with vendors with established</w:t>
            </w:r>
            <w:r w:rsidRPr="00E111C5">
              <w:rPr>
                <w:rFonts w:cs="Times New Roman"/>
                <w:sz w:val="22"/>
                <w:szCs w:val="22"/>
              </w:rPr>
              <w:t xml:space="preserve"> electronic clearing, settlement, and central custodial systems.</w:t>
            </w:r>
            <w:r>
              <w:rPr>
                <w:rFonts w:cs="Times New Roman"/>
                <w:sz w:val="22"/>
                <w:szCs w:val="22"/>
              </w:rPr>
              <w:t xml:space="preserve"> </w:t>
            </w:r>
            <w:r w:rsidRPr="00E111C5">
              <w:rPr>
                <w:rFonts w:cs="Times New Roman"/>
                <w:b/>
                <w:i/>
                <w:sz w:val="22"/>
                <w:szCs w:val="22"/>
              </w:rPr>
              <w:t>(BPNG)</w:t>
            </w:r>
          </w:p>
        </w:tc>
        <w:tc>
          <w:tcPr>
            <w:tcW w:w="1117" w:type="dxa"/>
            <w:tcBorders>
              <w:bottom w:val="single" w:sz="4" w:space="0" w:color="auto"/>
            </w:tcBorders>
            <w:shd w:val="clear" w:color="auto" w:fill="auto"/>
            <w:vAlign w:val="center"/>
          </w:tcPr>
          <w:p w14:paraId="4198991F" w14:textId="77777777" w:rsidR="00291C18" w:rsidRPr="007259A9" w:rsidRDefault="00291C18" w:rsidP="00404E8C">
            <w:pPr>
              <w:jc w:val="center"/>
              <w:rPr>
                <w:rFonts w:cs="Times New Roman"/>
                <w:b/>
              </w:rPr>
            </w:pPr>
            <w:r>
              <w:rPr>
                <w:rFonts w:cs="Times New Roman"/>
                <w:b/>
              </w:rPr>
              <w:t>H</w:t>
            </w:r>
          </w:p>
        </w:tc>
        <w:tc>
          <w:tcPr>
            <w:tcW w:w="1055" w:type="dxa"/>
            <w:tcBorders>
              <w:bottom w:val="single" w:sz="4" w:space="0" w:color="auto"/>
            </w:tcBorders>
            <w:shd w:val="clear" w:color="auto" w:fill="auto"/>
            <w:vAlign w:val="center"/>
          </w:tcPr>
          <w:p w14:paraId="16370964" w14:textId="77777777" w:rsidR="00291C18" w:rsidRPr="007259A9" w:rsidRDefault="00291C18" w:rsidP="00404E8C">
            <w:pPr>
              <w:jc w:val="center"/>
              <w:rPr>
                <w:rFonts w:cs="Times New Roman"/>
                <w:b/>
              </w:rPr>
            </w:pPr>
            <w:r>
              <w:rPr>
                <w:rFonts w:cs="Times New Roman"/>
                <w:b/>
              </w:rPr>
              <w:t>ST</w:t>
            </w:r>
          </w:p>
        </w:tc>
        <w:tc>
          <w:tcPr>
            <w:tcW w:w="865" w:type="dxa"/>
            <w:tcBorders>
              <w:bottom w:val="single" w:sz="4" w:space="0" w:color="auto"/>
            </w:tcBorders>
            <w:shd w:val="clear" w:color="auto" w:fill="auto"/>
            <w:vAlign w:val="center"/>
          </w:tcPr>
          <w:p w14:paraId="586FED9C" w14:textId="77777777" w:rsidR="00291C18" w:rsidRPr="00D80090" w:rsidRDefault="00291C18" w:rsidP="00404E8C">
            <w:pPr>
              <w:jc w:val="center"/>
              <w:rPr>
                <w:rFonts w:ascii="Arial" w:hAnsi="Arial" w:cs="Arial"/>
                <w:sz w:val="20"/>
                <w:szCs w:val="20"/>
              </w:rPr>
            </w:pPr>
          </w:p>
        </w:tc>
      </w:tr>
      <w:tr w:rsidR="00291C18" w:rsidRPr="00D80090" w14:paraId="74E74188" w14:textId="77777777" w:rsidTr="00404E8C">
        <w:trPr>
          <w:trHeight w:val="233"/>
          <w:jc w:val="center"/>
        </w:trPr>
        <w:tc>
          <w:tcPr>
            <w:tcW w:w="5945" w:type="dxa"/>
            <w:shd w:val="clear" w:color="auto" w:fill="E0E0E0"/>
          </w:tcPr>
          <w:p w14:paraId="3EC2231D" w14:textId="77777777" w:rsidR="00291C18" w:rsidRPr="00C74DF8" w:rsidRDefault="00291C18" w:rsidP="00404E8C">
            <w:pPr>
              <w:rPr>
                <w:rFonts w:ascii="Arial" w:hAnsi="Arial" w:cs="Arial"/>
                <w:b/>
                <w:sz w:val="20"/>
                <w:szCs w:val="20"/>
              </w:rPr>
            </w:pPr>
            <w:r>
              <w:rPr>
                <w:rFonts w:ascii="Arial" w:hAnsi="Arial" w:cs="Arial"/>
                <w:b/>
                <w:sz w:val="20"/>
                <w:szCs w:val="20"/>
              </w:rPr>
              <w:t>Stock Exchange</w:t>
            </w:r>
          </w:p>
        </w:tc>
        <w:tc>
          <w:tcPr>
            <w:tcW w:w="1117" w:type="dxa"/>
            <w:shd w:val="clear" w:color="auto" w:fill="E0E0E0"/>
            <w:vAlign w:val="center"/>
          </w:tcPr>
          <w:p w14:paraId="38C9E029" w14:textId="77777777" w:rsidR="00291C18" w:rsidRPr="007259A9" w:rsidRDefault="00291C18" w:rsidP="00404E8C">
            <w:pPr>
              <w:jc w:val="center"/>
              <w:rPr>
                <w:rFonts w:cs="Times New Roman"/>
                <w:b/>
              </w:rPr>
            </w:pPr>
          </w:p>
        </w:tc>
        <w:tc>
          <w:tcPr>
            <w:tcW w:w="1055" w:type="dxa"/>
            <w:shd w:val="clear" w:color="auto" w:fill="E0E0E0"/>
            <w:vAlign w:val="center"/>
          </w:tcPr>
          <w:p w14:paraId="33A94974" w14:textId="77777777" w:rsidR="00291C18" w:rsidRPr="007259A9" w:rsidRDefault="00291C18" w:rsidP="00404E8C">
            <w:pPr>
              <w:jc w:val="center"/>
              <w:rPr>
                <w:rFonts w:cs="Times New Roman"/>
                <w:b/>
              </w:rPr>
            </w:pPr>
          </w:p>
        </w:tc>
        <w:tc>
          <w:tcPr>
            <w:tcW w:w="865" w:type="dxa"/>
            <w:shd w:val="clear" w:color="auto" w:fill="E0E0E0"/>
            <w:vAlign w:val="center"/>
          </w:tcPr>
          <w:p w14:paraId="0073C8B4" w14:textId="77777777" w:rsidR="00291C18" w:rsidRPr="00D80090" w:rsidRDefault="00291C18" w:rsidP="00404E8C">
            <w:pPr>
              <w:jc w:val="center"/>
              <w:rPr>
                <w:rFonts w:ascii="Arial" w:hAnsi="Arial" w:cs="Arial"/>
                <w:sz w:val="20"/>
                <w:szCs w:val="20"/>
              </w:rPr>
            </w:pPr>
          </w:p>
        </w:tc>
      </w:tr>
      <w:tr w:rsidR="00291C18" w:rsidRPr="00D80090" w14:paraId="0B955FE5" w14:textId="77777777" w:rsidTr="00404E8C">
        <w:trPr>
          <w:trHeight w:val="233"/>
          <w:jc w:val="center"/>
        </w:trPr>
        <w:tc>
          <w:tcPr>
            <w:tcW w:w="5945" w:type="dxa"/>
            <w:tcBorders>
              <w:bottom w:val="single" w:sz="4" w:space="0" w:color="auto"/>
            </w:tcBorders>
            <w:shd w:val="clear" w:color="auto" w:fill="auto"/>
          </w:tcPr>
          <w:p w14:paraId="66C9FBAF" w14:textId="7CED0EA7" w:rsidR="00291C18" w:rsidRPr="00BD429A" w:rsidRDefault="00291C18" w:rsidP="00404E8C">
            <w:pPr>
              <w:pStyle w:val="ListParagraph"/>
              <w:widowControl w:val="0"/>
              <w:ind w:left="0"/>
              <w:contextualSpacing w:val="0"/>
              <w:jc w:val="both"/>
              <w:rPr>
                <w:rFonts w:cs="Times New Roman"/>
                <w:sz w:val="22"/>
                <w:szCs w:val="22"/>
              </w:rPr>
            </w:pPr>
            <w:r w:rsidRPr="00BD429A">
              <w:rPr>
                <w:rFonts w:cs="Times New Roman"/>
                <w:sz w:val="22"/>
                <w:szCs w:val="22"/>
              </w:rPr>
              <w:t xml:space="preserve">Expand the stock exchange’s ownership from the current two by potentially allowing international ownership, which would </w:t>
            </w:r>
            <w:r w:rsidRPr="00BD429A">
              <w:rPr>
                <w:rFonts w:cs="Times New Roman"/>
                <w:sz w:val="22"/>
                <w:szCs w:val="22"/>
              </w:rPr>
              <w:lastRenderedPageBreak/>
              <w:t xml:space="preserve">import technology and knowledge to the local exchange. </w:t>
            </w:r>
            <w:r>
              <w:rPr>
                <w:rFonts w:cs="Times New Roman"/>
                <w:sz w:val="22"/>
                <w:szCs w:val="22"/>
              </w:rPr>
              <w:t>E</w:t>
            </w:r>
            <w:r w:rsidRPr="00BD429A">
              <w:rPr>
                <w:rFonts w:cs="Times New Roman"/>
                <w:sz w:val="22"/>
                <w:szCs w:val="22"/>
              </w:rPr>
              <w:t>ncourage greater competition through attracting new participants, domestic and or foreign, in the local market.</w:t>
            </w:r>
            <w:r>
              <w:rPr>
                <w:rFonts w:cs="Times New Roman"/>
                <w:sz w:val="22"/>
                <w:szCs w:val="22"/>
              </w:rPr>
              <w:t xml:space="preserve"> </w:t>
            </w:r>
            <w:r w:rsidRPr="00BD429A">
              <w:rPr>
                <w:rFonts w:cs="Times New Roman"/>
                <w:b/>
                <w:i/>
                <w:sz w:val="22"/>
                <w:szCs w:val="22"/>
              </w:rPr>
              <w:t>(</w:t>
            </w:r>
            <w:proofErr w:type="spellStart"/>
            <w:r w:rsidRPr="00BD429A">
              <w:rPr>
                <w:rFonts w:cs="Times New Roman"/>
                <w:b/>
                <w:i/>
                <w:sz w:val="22"/>
                <w:szCs w:val="22"/>
              </w:rPr>
              <w:t>POMSoX</w:t>
            </w:r>
            <w:proofErr w:type="spellEnd"/>
            <w:r w:rsidRPr="00BD429A">
              <w:rPr>
                <w:rFonts w:cs="Times New Roman"/>
                <w:b/>
                <w:i/>
                <w:sz w:val="22"/>
                <w:szCs w:val="22"/>
              </w:rPr>
              <w:t xml:space="preserve"> &amp;</w:t>
            </w:r>
            <w:r w:rsidR="00056D87">
              <w:rPr>
                <w:rFonts w:cs="Times New Roman"/>
                <w:b/>
                <w:i/>
                <w:sz w:val="22"/>
                <w:szCs w:val="22"/>
              </w:rPr>
              <w:t xml:space="preserve"> </w:t>
            </w:r>
            <w:r w:rsidRPr="00BD429A">
              <w:rPr>
                <w:rFonts w:cs="Times New Roman"/>
                <w:b/>
                <w:i/>
                <w:sz w:val="22"/>
                <w:szCs w:val="22"/>
              </w:rPr>
              <w:t>SCPNG)</w:t>
            </w:r>
          </w:p>
        </w:tc>
        <w:tc>
          <w:tcPr>
            <w:tcW w:w="1117" w:type="dxa"/>
            <w:tcBorders>
              <w:bottom w:val="single" w:sz="4" w:space="0" w:color="auto"/>
            </w:tcBorders>
            <w:shd w:val="clear" w:color="auto" w:fill="auto"/>
            <w:vAlign w:val="center"/>
          </w:tcPr>
          <w:p w14:paraId="6DC968ED" w14:textId="77777777" w:rsidR="00291C18" w:rsidRPr="007259A9" w:rsidRDefault="00291C18" w:rsidP="00404E8C">
            <w:pPr>
              <w:jc w:val="center"/>
              <w:rPr>
                <w:rFonts w:cs="Times New Roman"/>
                <w:b/>
              </w:rPr>
            </w:pPr>
            <w:r>
              <w:rPr>
                <w:rFonts w:cs="Times New Roman"/>
                <w:b/>
              </w:rPr>
              <w:lastRenderedPageBreak/>
              <w:t>M</w:t>
            </w:r>
          </w:p>
        </w:tc>
        <w:tc>
          <w:tcPr>
            <w:tcW w:w="1055" w:type="dxa"/>
            <w:tcBorders>
              <w:bottom w:val="single" w:sz="4" w:space="0" w:color="auto"/>
            </w:tcBorders>
            <w:shd w:val="clear" w:color="auto" w:fill="auto"/>
            <w:vAlign w:val="center"/>
          </w:tcPr>
          <w:p w14:paraId="62CB2BB4" w14:textId="77777777" w:rsidR="00291C18" w:rsidRPr="007259A9" w:rsidRDefault="00291C18" w:rsidP="00404E8C">
            <w:pPr>
              <w:jc w:val="center"/>
              <w:rPr>
                <w:rFonts w:cs="Times New Roman"/>
                <w:b/>
              </w:rPr>
            </w:pPr>
            <w:r>
              <w:rPr>
                <w:rFonts w:cs="Times New Roman"/>
                <w:b/>
              </w:rPr>
              <w:t>MT</w:t>
            </w:r>
          </w:p>
        </w:tc>
        <w:tc>
          <w:tcPr>
            <w:tcW w:w="865" w:type="dxa"/>
            <w:tcBorders>
              <w:bottom w:val="single" w:sz="4" w:space="0" w:color="auto"/>
            </w:tcBorders>
            <w:shd w:val="clear" w:color="auto" w:fill="auto"/>
            <w:vAlign w:val="center"/>
          </w:tcPr>
          <w:p w14:paraId="27588FE7" w14:textId="77777777" w:rsidR="00291C18" w:rsidRPr="00D80090" w:rsidRDefault="00291C18" w:rsidP="00404E8C">
            <w:pPr>
              <w:jc w:val="center"/>
              <w:rPr>
                <w:rFonts w:ascii="Arial" w:hAnsi="Arial" w:cs="Arial"/>
                <w:sz w:val="20"/>
                <w:szCs w:val="20"/>
              </w:rPr>
            </w:pPr>
          </w:p>
        </w:tc>
      </w:tr>
    </w:tbl>
    <w:p w14:paraId="280785AA" w14:textId="77777777" w:rsidR="00BF4DFA" w:rsidRDefault="00BF4DFA" w:rsidP="00BF4DFA">
      <w:pPr>
        <w:widowControl w:val="0"/>
        <w:spacing w:after="240"/>
        <w:jc w:val="both"/>
        <w:rPr>
          <w:noProof/>
        </w:rPr>
      </w:pPr>
    </w:p>
    <w:sectPr w:rsidR="00BF4DFA" w:rsidSect="00B409BD">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2CD6D" w14:textId="77777777" w:rsidR="00465DA3" w:rsidRDefault="00465DA3" w:rsidP="00B409BD">
      <w:r>
        <w:separator/>
      </w:r>
    </w:p>
  </w:endnote>
  <w:endnote w:type="continuationSeparator" w:id="0">
    <w:p w14:paraId="5426E59C" w14:textId="77777777" w:rsidR="00465DA3" w:rsidRDefault="00465DA3" w:rsidP="00B4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96DF18" w14:textId="77777777" w:rsidR="00465DA3" w:rsidRDefault="00465DA3" w:rsidP="00B409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F96A79" w14:textId="77777777" w:rsidR="00465DA3" w:rsidRDefault="00465D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783555" w14:textId="77777777" w:rsidR="00465DA3" w:rsidRDefault="00465DA3" w:rsidP="00B409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4F24">
      <w:rPr>
        <w:rStyle w:val="PageNumber"/>
        <w:noProof/>
      </w:rPr>
      <w:t>52</w:t>
    </w:r>
    <w:r>
      <w:rPr>
        <w:rStyle w:val="PageNumber"/>
      </w:rPr>
      <w:fldChar w:fldCharType="end"/>
    </w:r>
  </w:p>
  <w:p w14:paraId="7EA2E161" w14:textId="77777777" w:rsidR="00465DA3" w:rsidRDefault="00465DA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9C4E7D" w14:textId="77777777" w:rsidR="00465DA3" w:rsidRDefault="00465D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36FFA" w14:textId="77777777" w:rsidR="00465DA3" w:rsidRDefault="00465DA3" w:rsidP="00B409BD">
      <w:r>
        <w:separator/>
      </w:r>
    </w:p>
  </w:footnote>
  <w:footnote w:type="continuationSeparator" w:id="0">
    <w:p w14:paraId="147FCD11" w14:textId="77777777" w:rsidR="00465DA3" w:rsidRDefault="00465DA3" w:rsidP="00B409BD">
      <w:r>
        <w:continuationSeparator/>
      </w:r>
    </w:p>
  </w:footnote>
  <w:footnote w:id="1">
    <w:p w14:paraId="6267364C" w14:textId="77777777" w:rsidR="00465DA3" w:rsidRDefault="00465DA3" w:rsidP="00083E32">
      <w:pPr>
        <w:pStyle w:val="FootnoteText"/>
        <w:spacing w:after="0"/>
        <w:jc w:val="both"/>
      </w:pPr>
      <w:r>
        <w:rPr>
          <w:rStyle w:val="FootnoteReference"/>
        </w:rPr>
        <w:footnoteRef/>
      </w:r>
      <w:r>
        <w:t xml:space="preserve">   The Report is part of the Technical Assistance provided by the World Bank to the Bank of Papua New Guinea and Papua New Guinea Treasury to support the development of the Financial Services Sector Development Strategy.  Funding for the Technical Assistance has been provided by FIRST Initiative.</w:t>
      </w:r>
    </w:p>
    <w:p w14:paraId="2C9AE1BE" w14:textId="77777777" w:rsidR="00465DA3" w:rsidRPr="00241625" w:rsidRDefault="00465DA3" w:rsidP="00083E32">
      <w:pPr>
        <w:pStyle w:val="FootnoteText"/>
        <w:spacing w:after="0"/>
        <w:jc w:val="both"/>
      </w:pPr>
      <w:r>
        <w:t xml:space="preserve">      </w:t>
      </w:r>
    </w:p>
  </w:footnote>
  <w:footnote w:id="2">
    <w:p w14:paraId="4CD31196" w14:textId="20F3CD70" w:rsidR="00465DA3" w:rsidRPr="005246AE" w:rsidRDefault="00465DA3" w:rsidP="00083E32">
      <w:pPr>
        <w:pStyle w:val="FootnoteText"/>
        <w:spacing w:line="276" w:lineRule="auto"/>
        <w:jc w:val="both"/>
      </w:pPr>
      <w:r>
        <w:rPr>
          <w:rStyle w:val="FootnoteReference"/>
        </w:rPr>
        <w:footnoteRef/>
      </w:r>
      <w:r>
        <w:t xml:space="preserve">   </w:t>
      </w:r>
      <w:proofErr w:type="gramStart"/>
      <w:r>
        <w:t xml:space="preserve">The report was drafted by Mr. </w:t>
      </w:r>
      <w:r w:rsidRPr="00BD51E3">
        <w:t>Robert T. Andreoli Jr.</w:t>
      </w:r>
      <w:r>
        <w:t>, Senior Bond Market Consultant, World Bank</w:t>
      </w:r>
      <w:proofErr w:type="gramEnd"/>
      <w:r>
        <w:t xml:space="preserve">. The author thanks the support provided by PNG Department of Treasury, the Bank of Papua New Guinea and the financial institutions visited during the diagnostic mission.  The assessment and recommendations are that of the author and do not necessarily reflect the views of the Executive Directors of the World Bank or the governments they represent. The Word Bank does not guarantee the accuracy of the data included in this work.   </w:t>
      </w:r>
    </w:p>
    <w:p w14:paraId="58567FFB" w14:textId="77777777" w:rsidR="00465DA3" w:rsidRPr="00241625" w:rsidRDefault="00465DA3" w:rsidP="00BD51E3">
      <w:pPr>
        <w:pStyle w:val="FootnoteText"/>
      </w:pPr>
    </w:p>
  </w:footnote>
  <w:footnote w:id="3">
    <w:p w14:paraId="1E027C39" w14:textId="5941D6E8" w:rsidR="00465DA3" w:rsidRDefault="00465DA3">
      <w:pPr>
        <w:pStyle w:val="FootnoteText"/>
      </w:pPr>
      <w:r>
        <w:rPr>
          <w:rStyle w:val="FootnoteReference"/>
        </w:rPr>
        <w:footnoteRef/>
      </w:r>
      <w:r>
        <w:t xml:space="preserve">  The Regulatory and Supervision component of the TA will make that recommendation.</w:t>
      </w:r>
    </w:p>
  </w:footnote>
  <w:footnote w:id="4">
    <w:p w14:paraId="60646468" w14:textId="77777777" w:rsidR="00465DA3" w:rsidRDefault="00465DA3" w:rsidP="007F37CA">
      <w:pPr>
        <w:pStyle w:val="FootnoteText"/>
        <w:spacing w:after="0"/>
      </w:pPr>
      <w:r>
        <w:rPr>
          <w:rStyle w:val="FootnoteReference"/>
        </w:rPr>
        <w:footnoteRef/>
      </w:r>
      <w:r>
        <w:t xml:space="preserve"> IMF Article IV Consultation December 2014.</w:t>
      </w:r>
    </w:p>
  </w:footnote>
  <w:footnote w:id="5">
    <w:p w14:paraId="066CD17C" w14:textId="77777777" w:rsidR="00465DA3" w:rsidRDefault="00465DA3" w:rsidP="007F37CA">
      <w:pPr>
        <w:pStyle w:val="FootnoteText"/>
        <w:spacing w:after="0"/>
      </w:pPr>
      <w:r>
        <w:rPr>
          <w:rStyle w:val="FootnoteReference"/>
        </w:rPr>
        <w:footnoteRef/>
      </w:r>
      <w:r>
        <w:t xml:space="preserve"> PNG Government’s 2015 Annual Budget and 2013-2017 Medium Term Debt Strategy.</w:t>
      </w:r>
    </w:p>
  </w:footnote>
  <w:footnote w:id="6">
    <w:p w14:paraId="17AD4483" w14:textId="77777777" w:rsidR="00465DA3" w:rsidRDefault="00465DA3">
      <w:pPr>
        <w:pStyle w:val="FootnoteText"/>
      </w:pPr>
      <w:r>
        <w:rPr>
          <w:rStyle w:val="FootnoteReference"/>
        </w:rPr>
        <w:footnoteRef/>
      </w:r>
      <w:r>
        <w:t xml:space="preserve"> IMF Article IV Consultation December 2014.</w:t>
      </w:r>
    </w:p>
  </w:footnote>
  <w:footnote w:id="7">
    <w:p w14:paraId="6D2A0D7C" w14:textId="77777777" w:rsidR="00465DA3" w:rsidRDefault="00465DA3" w:rsidP="005649C2">
      <w:pPr>
        <w:pStyle w:val="FootnoteText"/>
        <w:jc w:val="both"/>
      </w:pPr>
      <w:r>
        <w:rPr>
          <w:rStyle w:val="FootnoteReference"/>
        </w:rPr>
        <w:footnoteRef/>
      </w:r>
      <w:r>
        <w:t xml:space="preserve"> 2015 Annual Domestic Debt Issuance Plan</w:t>
      </w:r>
    </w:p>
  </w:footnote>
  <w:footnote w:id="8">
    <w:p w14:paraId="6143A4BD" w14:textId="77777777" w:rsidR="00465DA3" w:rsidRPr="00C11039" w:rsidRDefault="00465DA3" w:rsidP="00C11039">
      <w:pPr>
        <w:widowControl w:val="0"/>
        <w:autoSpaceDE w:val="0"/>
        <w:autoSpaceDN w:val="0"/>
        <w:adjustRightInd w:val="0"/>
        <w:jc w:val="both"/>
        <w:rPr>
          <w:rFonts w:cs="Times New Roman"/>
          <w:sz w:val="20"/>
          <w:szCs w:val="20"/>
        </w:rPr>
      </w:pPr>
      <w:r w:rsidRPr="00C11039">
        <w:rPr>
          <w:rStyle w:val="FootnoteReference"/>
          <w:sz w:val="20"/>
          <w:szCs w:val="20"/>
        </w:rPr>
        <w:footnoteRef/>
      </w:r>
      <w:r w:rsidRPr="00C11039">
        <w:rPr>
          <w:sz w:val="20"/>
          <w:szCs w:val="20"/>
        </w:rPr>
        <w:t xml:space="preserve"> </w:t>
      </w:r>
      <w:r w:rsidRPr="00C11039">
        <w:rPr>
          <w:rFonts w:cs="Times New Roman"/>
          <w:sz w:val="20"/>
          <w:szCs w:val="20"/>
        </w:rPr>
        <w:t>The registration, transfer, Coupon Interest payments, Principal repayment, issue of certificates of</w:t>
      </w:r>
      <w:r>
        <w:rPr>
          <w:rFonts w:cs="Times New Roman"/>
          <w:sz w:val="20"/>
          <w:szCs w:val="20"/>
        </w:rPr>
        <w:t xml:space="preserve"> </w:t>
      </w:r>
      <w:r w:rsidRPr="00C11039">
        <w:rPr>
          <w:rFonts w:cs="Times New Roman"/>
          <w:sz w:val="20"/>
          <w:szCs w:val="20"/>
        </w:rPr>
        <w:t>title and certifications of transfers of Stocks will be made free of any fees, duty, charges, deductions</w:t>
      </w:r>
      <w:r>
        <w:rPr>
          <w:rFonts w:cs="Times New Roman"/>
          <w:sz w:val="20"/>
          <w:szCs w:val="20"/>
        </w:rPr>
        <w:t xml:space="preserve"> </w:t>
      </w:r>
      <w:r w:rsidRPr="00C11039">
        <w:rPr>
          <w:rFonts w:cs="Times New Roman"/>
          <w:sz w:val="20"/>
          <w:szCs w:val="20"/>
        </w:rPr>
        <w:t>or levy, except to the extent required by law.</w:t>
      </w:r>
    </w:p>
  </w:footnote>
  <w:footnote w:id="9">
    <w:p w14:paraId="7B13CD9C" w14:textId="77777777" w:rsidR="00465DA3" w:rsidRDefault="00465DA3">
      <w:pPr>
        <w:pStyle w:val="FootnoteText"/>
      </w:pPr>
      <w:r>
        <w:rPr>
          <w:rStyle w:val="FootnoteReference"/>
        </w:rPr>
        <w:footnoteRef/>
      </w:r>
      <w:r>
        <w:t xml:space="preserve"> Source: 2015 Annual Budget and FMD</w:t>
      </w:r>
    </w:p>
  </w:footnote>
  <w:footnote w:id="10">
    <w:p w14:paraId="0F179451" w14:textId="54B36B6C" w:rsidR="00465DA3" w:rsidRPr="008925E3" w:rsidRDefault="00465DA3" w:rsidP="00CD750D">
      <w:pPr>
        <w:pStyle w:val="FootnoteText"/>
        <w:jc w:val="both"/>
        <w:rPr>
          <w:rFonts w:eastAsiaTheme="minorEastAsia"/>
          <w:lang w:eastAsia="ja-JP"/>
        </w:rPr>
      </w:pPr>
      <w:r>
        <w:rPr>
          <w:rStyle w:val="FootnoteReference"/>
        </w:rPr>
        <w:footnoteRef/>
      </w:r>
      <w:r>
        <w:t xml:space="preserve"> </w:t>
      </w:r>
      <w:r w:rsidRPr="001E4C11">
        <w:rPr>
          <w:rFonts w:eastAsiaTheme="minorEastAsia"/>
          <w:lang w:eastAsia="ja-JP"/>
        </w:rPr>
        <w:t>World Bank income classification gross national income (GNI) per capita. Lower middle income is classified as $1,045 to $4,125 for 2014.</w:t>
      </w:r>
    </w:p>
  </w:footnote>
  <w:footnote w:id="11">
    <w:p w14:paraId="16A1B175" w14:textId="77777777" w:rsidR="00465DA3" w:rsidRPr="00672B19" w:rsidRDefault="00465DA3" w:rsidP="007F37CA">
      <w:pPr>
        <w:pStyle w:val="FootnoteText"/>
        <w:spacing w:after="0"/>
        <w:rPr>
          <w:sz w:val="18"/>
          <w:szCs w:val="18"/>
        </w:rPr>
      </w:pPr>
      <w:r>
        <w:rPr>
          <w:rStyle w:val="FootnoteReference"/>
        </w:rPr>
        <w:footnoteRef/>
      </w:r>
      <w:r>
        <w:t xml:space="preserve"> </w:t>
      </w:r>
      <w:proofErr w:type="gramStart"/>
      <w:r w:rsidRPr="00934BD6">
        <w:rPr>
          <w:rFonts w:ascii="Arial" w:hAnsi="Arial" w:cs="Arial"/>
          <w:sz w:val="18"/>
          <w:szCs w:val="18"/>
        </w:rPr>
        <w:t>On-the-run</w:t>
      </w:r>
      <w:proofErr w:type="gramEnd"/>
      <w:r w:rsidRPr="00934BD6">
        <w:rPr>
          <w:rFonts w:ascii="Arial" w:hAnsi="Arial" w:cs="Arial"/>
          <w:sz w:val="18"/>
          <w:szCs w:val="18"/>
        </w:rPr>
        <w:t xml:space="preserve"> refers to the most current benchmark issues.</w:t>
      </w:r>
    </w:p>
  </w:footnote>
  <w:footnote w:id="12">
    <w:p w14:paraId="54219AA9" w14:textId="77777777" w:rsidR="00465DA3" w:rsidRPr="00844D10" w:rsidRDefault="00465DA3" w:rsidP="00406561">
      <w:pPr>
        <w:pStyle w:val="FootnoteText"/>
        <w:rPr>
          <w:rFonts w:ascii="Arial" w:hAnsi="Arial" w:cs="Arial"/>
          <w:sz w:val="18"/>
          <w:szCs w:val="18"/>
        </w:rPr>
      </w:pPr>
      <w:r w:rsidRPr="00934BD6">
        <w:rPr>
          <w:rStyle w:val="FootnoteReference"/>
          <w:sz w:val="18"/>
          <w:szCs w:val="18"/>
        </w:rPr>
        <w:footnoteRef/>
      </w:r>
      <w:r w:rsidRPr="00934BD6">
        <w:rPr>
          <w:sz w:val="18"/>
          <w:szCs w:val="18"/>
        </w:rPr>
        <w:t xml:space="preserve"> </w:t>
      </w:r>
      <w:proofErr w:type="gramStart"/>
      <w:r w:rsidRPr="00934BD6">
        <w:rPr>
          <w:rFonts w:ascii="Arial" w:hAnsi="Arial" w:cs="Arial"/>
          <w:sz w:val="18"/>
          <w:szCs w:val="18"/>
        </w:rPr>
        <w:t>Off-the-run</w:t>
      </w:r>
      <w:proofErr w:type="gramEnd"/>
      <w:r w:rsidRPr="00934BD6">
        <w:rPr>
          <w:rFonts w:ascii="Arial" w:hAnsi="Arial" w:cs="Arial"/>
          <w:sz w:val="18"/>
          <w:szCs w:val="18"/>
        </w:rPr>
        <w:t xml:space="preserve"> refers to older and seasoned securities in between on-the-run benchmarks issues.</w:t>
      </w:r>
    </w:p>
  </w:footnote>
  <w:footnote w:id="13">
    <w:p w14:paraId="0D7840D0" w14:textId="07305844" w:rsidR="00465DA3" w:rsidRDefault="00465DA3" w:rsidP="0007197B">
      <w:pPr>
        <w:pStyle w:val="FootnoteText"/>
        <w:jc w:val="both"/>
      </w:pPr>
      <w:r>
        <w:rPr>
          <w:rStyle w:val="FootnoteReference"/>
        </w:rPr>
        <w:footnoteRef/>
      </w:r>
      <w:r>
        <w:t xml:space="preserve"> The banks and book arrangers that would be considered typically are based their strengths in the currency of issuance and geographies of investors targeted.</w:t>
      </w:r>
    </w:p>
  </w:footnote>
  <w:footnote w:id="14">
    <w:p w14:paraId="28373856" w14:textId="77777777" w:rsidR="00465DA3" w:rsidRPr="007F37CA" w:rsidRDefault="00465DA3" w:rsidP="008317C8">
      <w:pPr>
        <w:pStyle w:val="FootnoteText"/>
        <w:rPr>
          <w:sz w:val="18"/>
          <w:szCs w:val="18"/>
        </w:rPr>
      </w:pPr>
      <w:r w:rsidRPr="007F37CA">
        <w:rPr>
          <w:rStyle w:val="FootnoteReference"/>
          <w:rFonts w:ascii="Arial" w:hAnsi="Arial" w:cs="Arial"/>
          <w:sz w:val="18"/>
          <w:szCs w:val="18"/>
        </w:rPr>
        <w:footnoteRef/>
      </w:r>
      <w:r w:rsidRPr="007F37CA">
        <w:rPr>
          <w:rFonts w:ascii="Arial" w:hAnsi="Arial" w:cs="Arial"/>
          <w:sz w:val="18"/>
          <w:szCs w:val="18"/>
        </w:rPr>
        <w:t xml:space="preserve"> </w:t>
      </w:r>
      <w:hyperlink r:id="rId1" w:history="1">
        <w:r w:rsidRPr="007F37CA">
          <w:rPr>
            <w:rStyle w:val="Hyperlink"/>
            <w:rFonts w:ascii="Arial" w:hAnsi="Arial" w:cs="Arial"/>
            <w:sz w:val="18"/>
            <w:szCs w:val="18"/>
          </w:rPr>
          <w:t>http://www.treasury.gov/resource-center/data-chart-center/quarterly-refunding/Pages/members-index.aspx</w:t>
        </w:r>
      </w:hyperlink>
    </w:p>
  </w:footnote>
  <w:footnote w:id="15">
    <w:p w14:paraId="69790724" w14:textId="073416FB" w:rsidR="00465DA3" w:rsidRDefault="00465DA3">
      <w:pPr>
        <w:pStyle w:val="FootnoteText"/>
      </w:pPr>
      <w:r>
        <w:rPr>
          <w:rStyle w:val="FootnoteReference"/>
        </w:rPr>
        <w:footnoteRef/>
      </w:r>
      <w:r>
        <w:t xml:space="preserve"> Currently, BPNG publishes government yield curve.</w:t>
      </w:r>
    </w:p>
  </w:footnote>
  <w:footnote w:id="16">
    <w:p w14:paraId="6313F05B" w14:textId="77777777" w:rsidR="00465DA3" w:rsidRPr="0060282D" w:rsidRDefault="00465DA3" w:rsidP="0060282D">
      <w:pPr>
        <w:widowControl w:val="0"/>
        <w:autoSpaceDE w:val="0"/>
        <w:autoSpaceDN w:val="0"/>
        <w:adjustRightInd w:val="0"/>
        <w:jc w:val="both"/>
        <w:rPr>
          <w:rFonts w:cs="Times New Roman"/>
          <w:sz w:val="20"/>
          <w:szCs w:val="20"/>
        </w:rPr>
      </w:pPr>
      <w:r>
        <w:rPr>
          <w:rStyle w:val="FootnoteReference"/>
        </w:rPr>
        <w:footnoteRef/>
      </w:r>
      <w:r>
        <w:t xml:space="preserve"> </w:t>
      </w:r>
      <w:r>
        <w:rPr>
          <w:rFonts w:cs="Times New Roman"/>
          <w:sz w:val="20"/>
          <w:szCs w:val="20"/>
        </w:rPr>
        <w:t>Standing facilities are borrowing or deposit facilities that central banks may provide to eligible counterparties at the counterparties’ initiative.</w:t>
      </w:r>
    </w:p>
  </w:footnote>
  <w:footnote w:id="17">
    <w:p w14:paraId="0EF8ABB4" w14:textId="77777777" w:rsidR="00465DA3" w:rsidRDefault="00465DA3" w:rsidP="007F37CA">
      <w:pPr>
        <w:pStyle w:val="FootnoteText"/>
        <w:spacing w:after="0"/>
      </w:pPr>
      <w:r>
        <w:rPr>
          <w:rStyle w:val="FootnoteReference"/>
        </w:rPr>
        <w:footnoteRef/>
      </w:r>
      <w:r>
        <w:t xml:space="preserve"> Since KATS went live in 2012 only one occurrence where a bank needed funding from BPNG to settle it ESA. It was K15mm and was only overnight.</w:t>
      </w:r>
    </w:p>
  </w:footnote>
  <w:footnote w:id="18">
    <w:p w14:paraId="1BCFD23B" w14:textId="4D67564A" w:rsidR="00465DA3" w:rsidRDefault="00465DA3">
      <w:pPr>
        <w:pStyle w:val="FootnoteText"/>
      </w:pPr>
      <w:r>
        <w:rPr>
          <w:rStyle w:val="FootnoteReference"/>
        </w:rPr>
        <w:footnoteRef/>
      </w:r>
      <w:r>
        <w:t xml:space="preserve">  The bids are placed as the amount to purchase and not in price.</w:t>
      </w:r>
    </w:p>
  </w:footnote>
  <w:footnote w:id="19">
    <w:p w14:paraId="47ED7D36" w14:textId="77777777" w:rsidR="00465DA3" w:rsidRDefault="00465DA3" w:rsidP="00CF0306">
      <w:pPr>
        <w:pStyle w:val="FootnoteText"/>
        <w:jc w:val="both"/>
      </w:pPr>
      <w:r>
        <w:rPr>
          <w:rStyle w:val="FootnoteReference"/>
        </w:rPr>
        <w:footnoteRef/>
      </w:r>
      <w:r>
        <w:t xml:space="preserve">  US Treasury’s first issuance of the 30-year benchmark was syndication.</w:t>
      </w:r>
    </w:p>
  </w:footnote>
  <w:footnote w:id="20">
    <w:p w14:paraId="2AC32953" w14:textId="77777777" w:rsidR="00465DA3" w:rsidRPr="0030624D" w:rsidRDefault="00465DA3" w:rsidP="0060071A">
      <w:pPr>
        <w:pStyle w:val="FootnoteText"/>
        <w:jc w:val="both"/>
      </w:pPr>
      <w:r>
        <w:rPr>
          <w:rStyle w:val="FootnoteReference"/>
        </w:rPr>
        <w:footnoteRef/>
      </w:r>
      <w:r>
        <w:t xml:space="preserve"> </w:t>
      </w:r>
      <w:r w:rsidRPr="0030624D">
        <w:t>Governments typically place “Effectively Funding the Government’s needs” as the prime goal. Given this the Treasury should not “make price” but rather will accept the price given by the market</w:t>
      </w:r>
      <w:r>
        <w:t>.</w:t>
      </w:r>
    </w:p>
  </w:footnote>
  <w:footnote w:id="21">
    <w:p w14:paraId="70575EDF" w14:textId="77777777" w:rsidR="00465DA3" w:rsidRPr="00DE49D8" w:rsidRDefault="00465DA3" w:rsidP="00DE49D8">
      <w:pPr>
        <w:pStyle w:val="FootnoteText"/>
        <w:spacing w:after="0"/>
        <w:jc w:val="both"/>
        <w:rPr>
          <w:rFonts w:eastAsiaTheme="minorEastAsia" w:cs="Helvetica"/>
          <w:lang w:eastAsia="ja-JP"/>
        </w:rPr>
      </w:pPr>
      <w:r w:rsidRPr="00CD750D">
        <w:rPr>
          <w:rStyle w:val="FootnoteReference"/>
        </w:rPr>
        <w:footnoteRef/>
      </w:r>
      <w:r w:rsidRPr="00CD750D">
        <w:t xml:space="preserve"> </w:t>
      </w:r>
      <w:r w:rsidRPr="00DE49D8">
        <w:rPr>
          <w:rFonts w:eastAsiaTheme="minorEastAsia" w:cs="Helvetica"/>
          <w:lang w:eastAsia="ja-JP"/>
        </w:rPr>
        <w:t>Bid-to-cover ratio is the amount for bids tendered in a bond auction over the amount for sale.</w:t>
      </w:r>
    </w:p>
  </w:footnote>
  <w:footnote w:id="22">
    <w:p w14:paraId="62DF7736" w14:textId="77777777" w:rsidR="00465DA3" w:rsidRPr="00DE49D8" w:rsidRDefault="00465DA3" w:rsidP="00402ABA">
      <w:pPr>
        <w:pStyle w:val="FootnoteText"/>
        <w:jc w:val="both"/>
        <w:rPr>
          <w:rFonts w:eastAsiaTheme="minorEastAsia" w:cs="Helvetica"/>
          <w:lang w:eastAsia="ja-JP"/>
        </w:rPr>
      </w:pPr>
      <w:r w:rsidRPr="00CD750D">
        <w:rPr>
          <w:rFonts w:eastAsiaTheme="minorEastAsia" w:cs="Helvetica"/>
          <w:lang w:eastAsia="ja-JP"/>
        </w:rPr>
        <w:footnoteRef/>
      </w:r>
      <w:r w:rsidRPr="00CD750D">
        <w:rPr>
          <w:rFonts w:eastAsiaTheme="minorEastAsia" w:cs="Helvetica"/>
          <w:lang w:eastAsia="ja-JP"/>
        </w:rPr>
        <w:t xml:space="preserve"> Failed</w:t>
      </w:r>
      <w:r w:rsidRPr="00DE49D8">
        <w:rPr>
          <w:rFonts w:eastAsiaTheme="minorEastAsia" w:cs="Helvetica"/>
          <w:lang w:eastAsia="ja-JP"/>
        </w:rPr>
        <w:t xml:space="preserve"> auctions are when the government receives bids less than the amount on offer thus not resulting.</w:t>
      </w:r>
    </w:p>
  </w:footnote>
  <w:footnote w:id="23">
    <w:p w14:paraId="31ED4988" w14:textId="77777777" w:rsidR="00465DA3" w:rsidRPr="00C8338E" w:rsidRDefault="00465DA3" w:rsidP="004D28DF">
      <w:pPr>
        <w:pStyle w:val="FootnoteText"/>
        <w:rPr>
          <w:rFonts w:ascii="Arial" w:hAnsi="Arial" w:cs="Arial"/>
        </w:rPr>
      </w:pPr>
      <w:r w:rsidRPr="00C8338E">
        <w:rPr>
          <w:rStyle w:val="FootnoteReference"/>
          <w:rFonts w:ascii="Arial" w:hAnsi="Arial" w:cs="Arial"/>
        </w:rPr>
        <w:footnoteRef/>
      </w:r>
      <w:r w:rsidRPr="00C8338E">
        <w:rPr>
          <w:rFonts w:ascii="Arial" w:hAnsi="Arial" w:cs="Arial"/>
        </w:rPr>
        <w:t xml:space="preserve"> </w:t>
      </w:r>
      <w:r w:rsidRPr="00365FEB">
        <w:t>Redemptions are when investors wish to sell or close out their holdings in the fund.</w:t>
      </w:r>
    </w:p>
  </w:footnote>
  <w:footnote w:id="24">
    <w:p w14:paraId="39E25351" w14:textId="3C316FDA" w:rsidR="00465DA3" w:rsidRPr="005A77DD" w:rsidRDefault="00465DA3" w:rsidP="005A77DD">
      <w:pPr>
        <w:pStyle w:val="FootnoteText"/>
        <w:spacing w:after="0"/>
        <w:jc w:val="both"/>
        <w:rPr>
          <w:rFonts w:eastAsiaTheme="minorEastAsia" w:cs="Helvetica"/>
          <w:lang w:eastAsia="ja-JP"/>
        </w:rPr>
      </w:pPr>
      <w:r>
        <w:rPr>
          <w:rStyle w:val="FootnoteReference"/>
        </w:rPr>
        <w:footnoteRef/>
      </w:r>
      <w:r>
        <w:t xml:space="preserve"> </w:t>
      </w:r>
      <w:r w:rsidRPr="00B35865">
        <w:rPr>
          <w:rFonts w:eastAsiaTheme="minorEastAsia" w:cs="Helvetica"/>
          <w:lang w:eastAsia="ja-JP"/>
        </w:rPr>
        <w:t>Privileges include exclusive rights to primary auctions, access to non-competitive bids, and participation in sec</w:t>
      </w:r>
      <w:r>
        <w:rPr>
          <w:rFonts w:eastAsiaTheme="minorEastAsia" w:cs="Helvetica"/>
          <w:lang w:eastAsia="ja-JP"/>
        </w:rPr>
        <w:t>ond round auctions</w:t>
      </w:r>
      <w:r w:rsidRPr="00B35865">
        <w:rPr>
          <w:rFonts w:eastAsiaTheme="minorEastAsia" w:cs="Helvetica"/>
          <w:lang w:eastAsia="ja-JP"/>
        </w:rPr>
        <w:t xml:space="preserve"> e.g. in high demand the Treasury issues additional securities in the auction.</w:t>
      </w:r>
    </w:p>
  </w:footnote>
  <w:footnote w:id="25">
    <w:p w14:paraId="3AA310A2" w14:textId="77777777" w:rsidR="00465DA3" w:rsidRPr="00CE7E4B" w:rsidRDefault="00465DA3" w:rsidP="003B02B9">
      <w:pPr>
        <w:pStyle w:val="FootnoteText"/>
        <w:spacing w:before="2" w:after="2"/>
        <w:rPr>
          <w:rFonts w:asciiTheme="minorHAnsi" w:hAnsiTheme="minorHAnsi"/>
          <w:sz w:val="16"/>
          <w:szCs w:val="16"/>
        </w:rPr>
      </w:pPr>
      <w:r w:rsidRPr="004729D5">
        <w:rPr>
          <w:rStyle w:val="FootnoteReference"/>
          <w:rFonts w:asciiTheme="minorHAnsi" w:hAnsiTheme="minorHAnsi"/>
          <w:sz w:val="16"/>
          <w:szCs w:val="16"/>
        </w:rPr>
        <w:footnoteRef/>
      </w:r>
      <w:r w:rsidRPr="004729D5">
        <w:rPr>
          <w:rFonts w:asciiTheme="minorHAnsi" w:hAnsiTheme="minorHAnsi"/>
          <w:sz w:val="16"/>
          <w:szCs w:val="16"/>
        </w:rPr>
        <w:t xml:space="preserve"> </w:t>
      </w:r>
      <w:proofErr w:type="spellStart"/>
      <w:r w:rsidRPr="004729D5">
        <w:rPr>
          <w:rFonts w:asciiTheme="minorHAnsi" w:hAnsiTheme="minorHAnsi"/>
          <w:sz w:val="16"/>
          <w:szCs w:val="16"/>
        </w:rPr>
        <w:t>Austraclear</w:t>
      </w:r>
      <w:proofErr w:type="spellEnd"/>
      <w:r w:rsidRPr="004729D5">
        <w:rPr>
          <w:rFonts w:asciiTheme="minorHAnsi" w:hAnsiTheme="minorHAnsi"/>
          <w:sz w:val="16"/>
          <w:szCs w:val="16"/>
        </w:rPr>
        <w:t xml:space="preserve"> is the dominant settlement mechanism in Australia, which settled AUD 17.7 trillion of trades in the last twelve months, and is used by al bond </w:t>
      </w:r>
      <w:r w:rsidRPr="00CE7E4B">
        <w:rPr>
          <w:rFonts w:asciiTheme="minorHAnsi" w:hAnsiTheme="minorHAnsi"/>
          <w:sz w:val="16"/>
          <w:szCs w:val="16"/>
        </w:rPr>
        <w:t xml:space="preserve">market participants in Australia (Source: </w:t>
      </w:r>
      <w:proofErr w:type="spellStart"/>
      <w:r w:rsidRPr="00CE7E4B">
        <w:rPr>
          <w:rFonts w:asciiTheme="minorHAnsi" w:hAnsiTheme="minorHAnsi"/>
          <w:sz w:val="16"/>
          <w:szCs w:val="16"/>
        </w:rPr>
        <w:t>Austraclear</w:t>
      </w:r>
      <w:proofErr w:type="spellEnd"/>
      <w:r w:rsidRPr="00CE7E4B">
        <w:rPr>
          <w:rFonts w:asciiTheme="minorHAnsi" w:hAnsiTheme="minorHAnsi"/>
          <w:sz w:val="16"/>
          <w:szCs w:val="16"/>
        </w:rPr>
        <w:t>).</w:t>
      </w:r>
    </w:p>
  </w:footnote>
  <w:footnote w:id="26">
    <w:p w14:paraId="1CC1F843" w14:textId="77777777" w:rsidR="00465DA3" w:rsidRPr="003F7E85" w:rsidRDefault="00465DA3" w:rsidP="003021B0">
      <w:pPr>
        <w:widowControl w:val="0"/>
        <w:spacing w:after="240"/>
        <w:jc w:val="both"/>
        <w:rPr>
          <w:rFonts w:cs="Times New Roman"/>
          <w:i/>
          <w:sz w:val="20"/>
          <w:szCs w:val="20"/>
        </w:rPr>
      </w:pPr>
      <w:r>
        <w:rPr>
          <w:rStyle w:val="FootnoteReference"/>
        </w:rPr>
        <w:footnoteRef/>
      </w:r>
      <w:r>
        <w:t xml:space="preserve"> </w:t>
      </w:r>
      <w:proofErr w:type="spellStart"/>
      <w:r w:rsidRPr="003021B0">
        <w:rPr>
          <w:rFonts w:cs="Times New Roman"/>
          <w:sz w:val="20"/>
          <w:szCs w:val="20"/>
        </w:rPr>
        <w:t>Austraclear</w:t>
      </w:r>
      <w:proofErr w:type="spellEnd"/>
      <w:r w:rsidRPr="003021B0">
        <w:rPr>
          <w:rFonts w:cs="Times New Roman"/>
          <w:sz w:val="20"/>
          <w:szCs w:val="20"/>
        </w:rPr>
        <w:t xml:space="preserve"> presentation to BPNG July 2014</w:t>
      </w:r>
    </w:p>
    <w:p w14:paraId="585DDAE9" w14:textId="77777777" w:rsidR="00465DA3" w:rsidRDefault="00465DA3">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191D53" w14:textId="77777777" w:rsidR="00465DA3" w:rsidRDefault="00465DA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043937756"/>
      <w:docPartObj>
        <w:docPartGallery w:val="Watermarks"/>
        <w:docPartUnique/>
      </w:docPartObj>
    </w:sdtPr>
    <w:sdtEndPr/>
    <w:sdtContent>
      <w:p w14:paraId="428C6716" w14:textId="3656D9B2" w:rsidR="00465DA3" w:rsidRDefault="00654F24">
        <w:pPr>
          <w:pStyle w:val="Header"/>
        </w:pPr>
        <w:r>
          <w:rPr>
            <w:noProof/>
            <w:lang w:eastAsia="zh-TW"/>
          </w:rPr>
          <w:pict w14:anchorId="007BEF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F5145A" w14:textId="77777777" w:rsidR="00465DA3" w:rsidRDefault="00465D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9E9"/>
    <w:multiLevelType w:val="hybridMultilevel"/>
    <w:tmpl w:val="7E4A5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0071AC"/>
    <w:multiLevelType w:val="hybridMultilevel"/>
    <w:tmpl w:val="3E24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27ABF"/>
    <w:multiLevelType w:val="hybridMultilevel"/>
    <w:tmpl w:val="7F00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54837"/>
    <w:multiLevelType w:val="hybridMultilevel"/>
    <w:tmpl w:val="80408904"/>
    <w:lvl w:ilvl="0" w:tplc="19845C6A">
      <w:start w:val="1"/>
      <w:numFmt w:val="bullet"/>
      <w:lvlText w:val="–"/>
      <w:lvlJc w:val="left"/>
      <w:pPr>
        <w:ind w:left="720" w:hanging="360"/>
      </w:pPr>
      <w:rPr>
        <w:rFonts w:ascii="Arial" w:hAnsi="Arial" w:cs="Arial" w:hint="default"/>
        <w:b/>
        <w:bCs/>
        <w:color w:val="auto"/>
        <w:sz w:val="24"/>
        <w:szCs w:val="24"/>
      </w:rPr>
    </w:lvl>
    <w:lvl w:ilvl="1" w:tplc="D8D01ECA">
      <w:start w:val="1"/>
      <w:numFmt w:val="bullet"/>
      <w:pStyle w:val="Bulletstab"/>
      <w:lvlText w:val=""/>
      <w:lvlJc w:val="left"/>
      <w:pPr>
        <w:ind w:left="1440" w:hanging="360"/>
      </w:pPr>
      <w:rPr>
        <w:rFonts w:ascii="Symbol" w:hAnsi="Symbol" w:cs="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0E9B06B7"/>
    <w:multiLevelType w:val="hybridMultilevel"/>
    <w:tmpl w:val="81D66E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0F5618CC"/>
    <w:multiLevelType w:val="hybridMultilevel"/>
    <w:tmpl w:val="FBD6D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0E00BA2"/>
    <w:multiLevelType w:val="hybridMultilevel"/>
    <w:tmpl w:val="0FB2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D61A6"/>
    <w:multiLevelType w:val="hybridMultilevel"/>
    <w:tmpl w:val="C31EF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F3AE3"/>
    <w:multiLevelType w:val="hybridMultilevel"/>
    <w:tmpl w:val="B8A8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105CA9"/>
    <w:multiLevelType w:val="hybridMultilevel"/>
    <w:tmpl w:val="9872D76C"/>
    <w:lvl w:ilvl="0" w:tplc="CB669CDC">
      <w:start w:val="1"/>
      <w:numFmt w:val="decimal"/>
      <w:pStyle w:val="ParagraphNumbering"/>
      <w:lvlText w:val="%1.     "/>
      <w:lvlJc w:val="left"/>
      <w:pPr>
        <w:tabs>
          <w:tab w:val="num" w:pos="720"/>
        </w:tabs>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2F4300"/>
    <w:multiLevelType w:val="hybridMultilevel"/>
    <w:tmpl w:val="2528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62037"/>
    <w:multiLevelType w:val="hybridMultilevel"/>
    <w:tmpl w:val="47367054"/>
    <w:lvl w:ilvl="0" w:tplc="04090001">
      <w:start w:val="1"/>
      <w:numFmt w:val="bullet"/>
      <w:lvlText w:val=""/>
      <w:lvlJc w:val="left"/>
      <w:pPr>
        <w:ind w:left="720" w:hanging="360"/>
      </w:pPr>
      <w:rPr>
        <w:rFonts w:ascii="Symbol" w:hAnsi="Symbol" w:hint="default"/>
        <w:b/>
        <w:bCs/>
        <w:color w:val="auto"/>
        <w:sz w:val="24"/>
        <w:szCs w:val="24"/>
      </w:rPr>
    </w:lvl>
    <w:lvl w:ilvl="1" w:tplc="04090019">
      <w:start w:val="1"/>
      <w:numFmt w:val="lowerLetter"/>
      <w:lvlText w:val="%2."/>
      <w:lvlJc w:val="left"/>
      <w:pPr>
        <w:ind w:left="720" w:hanging="360"/>
      </w:pPr>
      <w:rPr>
        <w:rFonts w:ascii="Times New Roman" w:hAnsi="Times New Roman" w:cs="Times New Roman"/>
      </w:rPr>
    </w:lvl>
    <w:lvl w:ilvl="2" w:tplc="0409001B">
      <w:start w:val="1"/>
      <w:numFmt w:val="lowerRoman"/>
      <w:lvlText w:val="%3."/>
      <w:lvlJc w:val="right"/>
      <w:pPr>
        <w:ind w:left="1440" w:hanging="180"/>
      </w:pPr>
      <w:rPr>
        <w:rFonts w:ascii="Times New Roman" w:hAnsi="Times New Roman" w:cs="Times New Roman"/>
      </w:rPr>
    </w:lvl>
    <w:lvl w:ilvl="3" w:tplc="0409000F">
      <w:start w:val="1"/>
      <w:numFmt w:val="decimal"/>
      <w:lvlText w:val="%4."/>
      <w:lvlJc w:val="left"/>
      <w:pPr>
        <w:ind w:left="2160" w:hanging="360"/>
      </w:pPr>
      <w:rPr>
        <w:rFonts w:ascii="Times New Roman" w:hAnsi="Times New Roman" w:cs="Times New Roman"/>
      </w:rPr>
    </w:lvl>
    <w:lvl w:ilvl="4" w:tplc="04090019">
      <w:start w:val="1"/>
      <w:numFmt w:val="lowerLetter"/>
      <w:lvlText w:val="%5."/>
      <w:lvlJc w:val="left"/>
      <w:pPr>
        <w:ind w:left="2880" w:hanging="360"/>
      </w:pPr>
      <w:rPr>
        <w:rFonts w:ascii="Times New Roman" w:hAnsi="Times New Roman" w:cs="Times New Roman"/>
      </w:rPr>
    </w:lvl>
    <w:lvl w:ilvl="5" w:tplc="0409001B">
      <w:start w:val="1"/>
      <w:numFmt w:val="lowerRoman"/>
      <w:lvlText w:val="%6."/>
      <w:lvlJc w:val="right"/>
      <w:pPr>
        <w:ind w:left="3600" w:hanging="180"/>
      </w:pPr>
      <w:rPr>
        <w:rFonts w:ascii="Times New Roman" w:hAnsi="Times New Roman" w:cs="Times New Roman"/>
      </w:rPr>
    </w:lvl>
    <w:lvl w:ilvl="6" w:tplc="0409000F">
      <w:start w:val="1"/>
      <w:numFmt w:val="decimal"/>
      <w:lvlText w:val="%7."/>
      <w:lvlJc w:val="left"/>
      <w:pPr>
        <w:ind w:left="4320" w:hanging="360"/>
      </w:pPr>
      <w:rPr>
        <w:rFonts w:ascii="Times New Roman" w:hAnsi="Times New Roman" w:cs="Times New Roman"/>
      </w:rPr>
    </w:lvl>
    <w:lvl w:ilvl="7" w:tplc="04090019">
      <w:start w:val="1"/>
      <w:numFmt w:val="lowerLetter"/>
      <w:lvlText w:val="%8."/>
      <w:lvlJc w:val="left"/>
      <w:pPr>
        <w:ind w:left="5040" w:hanging="360"/>
      </w:pPr>
      <w:rPr>
        <w:rFonts w:ascii="Times New Roman" w:hAnsi="Times New Roman" w:cs="Times New Roman"/>
      </w:rPr>
    </w:lvl>
    <w:lvl w:ilvl="8" w:tplc="0409001B">
      <w:start w:val="1"/>
      <w:numFmt w:val="lowerRoman"/>
      <w:lvlText w:val="%9."/>
      <w:lvlJc w:val="right"/>
      <w:pPr>
        <w:ind w:left="5760" w:hanging="180"/>
      </w:pPr>
      <w:rPr>
        <w:rFonts w:ascii="Times New Roman" w:hAnsi="Times New Roman" w:cs="Times New Roman"/>
      </w:rPr>
    </w:lvl>
  </w:abstractNum>
  <w:abstractNum w:abstractNumId="12">
    <w:nsid w:val="1C650DEE"/>
    <w:multiLevelType w:val="hybridMultilevel"/>
    <w:tmpl w:val="4874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24EC2EEF"/>
    <w:multiLevelType w:val="hybridMultilevel"/>
    <w:tmpl w:val="8B46A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3028D2"/>
    <w:multiLevelType w:val="hybridMultilevel"/>
    <w:tmpl w:val="BE4851E0"/>
    <w:lvl w:ilvl="0" w:tplc="75247C08">
      <w:start w:val="1"/>
      <w:numFmt w:val="bullet"/>
      <w:pStyle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277620C5"/>
    <w:multiLevelType w:val="hybridMultilevel"/>
    <w:tmpl w:val="F834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8212C"/>
    <w:multiLevelType w:val="hybridMultilevel"/>
    <w:tmpl w:val="A4D27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E42B6"/>
    <w:multiLevelType w:val="hybridMultilevel"/>
    <w:tmpl w:val="64CA2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6B1DF2"/>
    <w:multiLevelType w:val="multilevel"/>
    <w:tmpl w:val="617C53B6"/>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AE059BC"/>
    <w:multiLevelType w:val="hybridMultilevel"/>
    <w:tmpl w:val="881C1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55067A"/>
    <w:multiLevelType w:val="hybridMultilevel"/>
    <w:tmpl w:val="40823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D97292"/>
    <w:multiLevelType w:val="hybridMultilevel"/>
    <w:tmpl w:val="58EA74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E218B1"/>
    <w:multiLevelType w:val="hybridMultilevel"/>
    <w:tmpl w:val="F0045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8453F0"/>
    <w:multiLevelType w:val="hybridMultilevel"/>
    <w:tmpl w:val="3A4E55AA"/>
    <w:lvl w:ilvl="0" w:tplc="B67086AE">
      <w:start w:val="20"/>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9774CA"/>
    <w:multiLevelType w:val="hybridMultilevel"/>
    <w:tmpl w:val="6D9C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34318"/>
    <w:multiLevelType w:val="hybridMultilevel"/>
    <w:tmpl w:val="46602B4E"/>
    <w:lvl w:ilvl="0" w:tplc="A66C1338">
      <w:start w:val="1"/>
      <w:numFmt w:val="decimal"/>
      <w:pStyle w:val="ExperienceNumberList"/>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nsid w:val="56861050"/>
    <w:multiLevelType w:val="hybridMultilevel"/>
    <w:tmpl w:val="F1EC6D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91D78AD"/>
    <w:multiLevelType w:val="hybridMultilevel"/>
    <w:tmpl w:val="C2FA6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47F1C"/>
    <w:multiLevelType w:val="hybridMultilevel"/>
    <w:tmpl w:val="428C83BA"/>
    <w:lvl w:ilvl="0" w:tplc="0642886C">
      <w:start w:val="1"/>
      <w:numFmt w:val="bullet"/>
      <w:lvlText w:val=""/>
      <w:lvlJc w:val="left"/>
      <w:pPr>
        <w:tabs>
          <w:tab w:val="num" w:pos="720"/>
        </w:tabs>
        <w:ind w:left="720" w:hanging="360"/>
      </w:pPr>
      <w:rPr>
        <w:rFonts w:ascii="Wingdings" w:hAnsi="Wingdings" w:hint="default"/>
      </w:rPr>
    </w:lvl>
    <w:lvl w:ilvl="1" w:tplc="0ADE5102">
      <w:start w:val="1"/>
      <w:numFmt w:val="bullet"/>
      <w:lvlText w:val=""/>
      <w:lvlJc w:val="left"/>
      <w:pPr>
        <w:tabs>
          <w:tab w:val="num" w:pos="1440"/>
        </w:tabs>
        <w:ind w:left="1440" w:hanging="360"/>
      </w:pPr>
      <w:rPr>
        <w:rFonts w:ascii="Wingdings" w:hAnsi="Wingdings" w:hint="default"/>
      </w:rPr>
    </w:lvl>
    <w:lvl w:ilvl="2" w:tplc="39B42906" w:tentative="1">
      <w:start w:val="1"/>
      <w:numFmt w:val="bullet"/>
      <w:lvlText w:val=""/>
      <w:lvlJc w:val="left"/>
      <w:pPr>
        <w:tabs>
          <w:tab w:val="num" w:pos="2160"/>
        </w:tabs>
        <w:ind w:left="2160" w:hanging="360"/>
      </w:pPr>
      <w:rPr>
        <w:rFonts w:ascii="Wingdings" w:hAnsi="Wingdings" w:hint="default"/>
      </w:rPr>
    </w:lvl>
    <w:lvl w:ilvl="3" w:tplc="19065964" w:tentative="1">
      <w:start w:val="1"/>
      <w:numFmt w:val="bullet"/>
      <w:lvlText w:val=""/>
      <w:lvlJc w:val="left"/>
      <w:pPr>
        <w:tabs>
          <w:tab w:val="num" w:pos="2880"/>
        </w:tabs>
        <w:ind w:left="2880" w:hanging="360"/>
      </w:pPr>
      <w:rPr>
        <w:rFonts w:ascii="Wingdings" w:hAnsi="Wingdings" w:hint="default"/>
      </w:rPr>
    </w:lvl>
    <w:lvl w:ilvl="4" w:tplc="A6F0DCA4" w:tentative="1">
      <w:start w:val="1"/>
      <w:numFmt w:val="bullet"/>
      <w:lvlText w:val=""/>
      <w:lvlJc w:val="left"/>
      <w:pPr>
        <w:tabs>
          <w:tab w:val="num" w:pos="3600"/>
        </w:tabs>
        <w:ind w:left="3600" w:hanging="360"/>
      </w:pPr>
      <w:rPr>
        <w:rFonts w:ascii="Wingdings" w:hAnsi="Wingdings" w:hint="default"/>
      </w:rPr>
    </w:lvl>
    <w:lvl w:ilvl="5" w:tplc="14542258" w:tentative="1">
      <w:start w:val="1"/>
      <w:numFmt w:val="bullet"/>
      <w:lvlText w:val=""/>
      <w:lvlJc w:val="left"/>
      <w:pPr>
        <w:tabs>
          <w:tab w:val="num" w:pos="4320"/>
        </w:tabs>
        <w:ind w:left="4320" w:hanging="360"/>
      </w:pPr>
      <w:rPr>
        <w:rFonts w:ascii="Wingdings" w:hAnsi="Wingdings" w:hint="default"/>
      </w:rPr>
    </w:lvl>
    <w:lvl w:ilvl="6" w:tplc="D5A21EBA" w:tentative="1">
      <w:start w:val="1"/>
      <w:numFmt w:val="bullet"/>
      <w:lvlText w:val=""/>
      <w:lvlJc w:val="left"/>
      <w:pPr>
        <w:tabs>
          <w:tab w:val="num" w:pos="5040"/>
        </w:tabs>
        <w:ind w:left="5040" w:hanging="360"/>
      </w:pPr>
      <w:rPr>
        <w:rFonts w:ascii="Wingdings" w:hAnsi="Wingdings" w:hint="default"/>
      </w:rPr>
    </w:lvl>
    <w:lvl w:ilvl="7" w:tplc="4AF85D36" w:tentative="1">
      <w:start w:val="1"/>
      <w:numFmt w:val="bullet"/>
      <w:lvlText w:val=""/>
      <w:lvlJc w:val="left"/>
      <w:pPr>
        <w:tabs>
          <w:tab w:val="num" w:pos="5760"/>
        </w:tabs>
        <w:ind w:left="5760" w:hanging="360"/>
      </w:pPr>
      <w:rPr>
        <w:rFonts w:ascii="Wingdings" w:hAnsi="Wingdings" w:hint="default"/>
      </w:rPr>
    </w:lvl>
    <w:lvl w:ilvl="8" w:tplc="359CEEDE" w:tentative="1">
      <w:start w:val="1"/>
      <w:numFmt w:val="bullet"/>
      <w:lvlText w:val=""/>
      <w:lvlJc w:val="left"/>
      <w:pPr>
        <w:tabs>
          <w:tab w:val="num" w:pos="6480"/>
        </w:tabs>
        <w:ind w:left="6480" w:hanging="360"/>
      </w:pPr>
      <w:rPr>
        <w:rFonts w:ascii="Wingdings" w:hAnsi="Wingdings" w:hint="default"/>
      </w:rPr>
    </w:lvl>
  </w:abstractNum>
  <w:abstractNum w:abstractNumId="29">
    <w:nsid w:val="5F90596E"/>
    <w:multiLevelType w:val="hybridMultilevel"/>
    <w:tmpl w:val="0FEE6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565125"/>
    <w:multiLevelType w:val="hybridMultilevel"/>
    <w:tmpl w:val="AB22A464"/>
    <w:lvl w:ilvl="0" w:tplc="27428718">
      <w:start w:val="1"/>
      <w:numFmt w:val="decimal"/>
      <w:lvlText w:val="%1."/>
      <w:lvlJc w:val="left"/>
      <w:pPr>
        <w:ind w:left="720" w:hanging="360"/>
      </w:pPr>
      <w:rPr>
        <w:rFonts w:ascii="Garamond" w:hAnsi="Garamond" w:cs="Garamond"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nsid w:val="63CD0096"/>
    <w:multiLevelType w:val="hybridMultilevel"/>
    <w:tmpl w:val="7410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8A0232"/>
    <w:multiLevelType w:val="hybridMultilevel"/>
    <w:tmpl w:val="C50013C2"/>
    <w:lvl w:ilvl="0" w:tplc="48F8E44A">
      <w:start w:val="1"/>
      <w:numFmt w:val="upperRoman"/>
      <w:pStyle w:val="Heading1"/>
      <w:lvlText w:val="%1."/>
      <w:lvlJc w:val="center"/>
      <w:pPr>
        <w:tabs>
          <w:tab w:val="num" w:pos="288"/>
        </w:tabs>
        <w:ind w:left="288" w:hanging="288"/>
      </w:pPr>
      <w:rPr>
        <w:rFonts w:cs="Times New Roman" w:hint="default"/>
        <w:sz w:val="2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68A315A4"/>
    <w:multiLevelType w:val="hybridMultilevel"/>
    <w:tmpl w:val="C76A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A00D0"/>
    <w:multiLevelType w:val="hybridMultilevel"/>
    <w:tmpl w:val="F1026660"/>
    <w:lvl w:ilvl="0" w:tplc="E4C4E7A6">
      <w:start w:val="1"/>
      <w:numFmt w:val="bullet"/>
      <w:pStyle w:val="BulletsADB"/>
      <w:lvlText w:val="–"/>
      <w:lvlJc w:val="left"/>
      <w:pPr>
        <w:ind w:left="720" w:hanging="360"/>
      </w:pPr>
      <w:rPr>
        <w:rFonts w:ascii="Arial" w:hAnsi="Arial" w:cs="Arial"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nsid w:val="7F3978C5"/>
    <w:multiLevelType w:val="hybridMultilevel"/>
    <w:tmpl w:val="F4FE7F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30"/>
    <w:lvlOverride w:ilvl="0">
      <w:lvl w:ilvl="0" w:tplc="27428718">
        <w:start w:val="1"/>
        <w:numFmt w:val="decimal"/>
        <w:lvlText w:val="%1."/>
        <w:lvlJc w:val="left"/>
        <w:pPr>
          <w:ind w:left="324" w:hanging="54"/>
        </w:pPr>
        <w:rPr>
          <w:rFonts w:ascii="Times New Roman" w:hAnsi="Times New Roman" w:cs="Times New Roman" w:hint="default"/>
          <w:b w:val="0"/>
          <w:bCs w:val="0"/>
          <w:i w:val="0"/>
          <w:color w:val="auto"/>
          <w:sz w:val="24"/>
          <w:szCs w:val="24"/>
        </w:rPr>
      </w:lvl>
    </w:lvlOverride>
    <w:lvlOverride w:ilvl="1">
      <w:lvl w:ilvl="1" w:tplc="04090019">
        <w:start w:val="1"/>
        <w:numFmt w:val="lowerLetter"/>
        <w:lvlText w:val="%2."/>
        <w:lvlJc w:val="left"/>
        <w:pPr>
          <w:ind w:left="1440" w:hanging="360"/>
        </w:pPr>
        <w:rPr>
          <w:rFonts w:ascii="Times New Roman" w:hAnsi="Times New Roman" w:cs="Times New Roman"/>
        </w:rPr>
      </w:lvl>
    </w:lvlOverride>
    <w:lvlOverride w:ilvl="2">
      <w:lvl w:ilvl="2" w:tplc="0409001B">
        <w:start w:val="1"/>
        <w:numFmt w:val="lowerRoman"/>
        <w:lvlText w:val="%3."/>
        <w:lvlJc w:val="right"/>
        <w:pPr>
          <w:ind w:left="2160" w:hanging="180"/>
        </w:pPr>
        <w:rPr>
          <w:rFonts w:ascii="Times New Roman" w:hAnsi="Times New Roman" w:cs="Times New Roman"/>
        </w:rPr>
      </w:lvl>
    </w:lvlOverride>
    <w:lvlOverride w:ilvl="3">
      <w:lvl w:ilvl="3" w:tplc="0409000F">
        <w:start w:val="1"/>
        <w:numFmt w:val="decimal"/>
        <w:lvlText w:val="%4."/>
        <w:lvlJc w:val="left"/>
        <w:pPr>
          <w:ind w:left="2880" w:hanging="360"/>
        </w:pPr>
        <w:rPr>
          <w:rFonts w:ascii="Times New Roman" w:hAnsi="Times New Roman" w:cs="Times New Roman"/>
        </w:rPr>
      </w:lvl>
    </w:lvlOverride>
    <w:lvlOverride w:ilvl="4">
      <w:lvl w:ilvl="4" w:tplc="04090019">
        <w:start w:val="1"/>
        <w:numFmt w:val="lowerLetter"/>
        <w:lvlText w:val="%5."/>
        <w:lvlJc w:val="left"/>
        <w:pPr>
          <w:ind w:left="3600" w:hanging="360"/>
        </w:pPr>
        <w:rPr>
          <w:rFonts w:ascii="Times New Roman" w:hAnsi="Times New Roman" w:cs="Times New Roman"/>
        </w:rPr>
      </w:lvl>
    </w:lvlOverride>
    <w:lvlOverride w:ilvl="5">
      <w:lvl w:ilvl="5" w:tplc="0409001B">
        <w:start w:val="1"/>
        <w:numFmt w:val="lowerRoman"/>
        <w:lvlText w:val="%6."/>
        <w:lvlJc w:val="right"/>
        <w:pPr>
          <w:ind w:left="4320" w:hanging="180"/>
        </w:pPr>
        <w:rPr>
          <w:rFonts w:ascii="Times New Roman" w:hAnsi="Times New Roman" w:cs="Times New Roman"/>
        </w:rPr>
      </w:lvl>
    </w:lvlOverride>
    <w:lvlOverride w:ilvl="6">
      <w:lvl w:ilvl="6" w:tplc="0409000F">
        <w:start w:val="1"/>
        <w:numFmt w:val="decimal"/>
        <w:lvlText w:val="%7."/>
        <w:lvlJc w:val="left"/>
        <w:pPr>
          <w:ind w:left="5040" w:hanging="360"/>
        </w:pPr>
        <w:rPr>
          <w:rFonts w:ascii="Times New Roman" w:hAnsi="Times New Roman" w:cs="Times New Roman"/>
        </w:rPr>
      </w:lvl>
    </w:lvlOverride>
    <w:lvlOverride w:ilvl="7">
      <w:lvl w:ilvl="7" w:tplc="04090019">
        <w:start w:val="1"/>
        <w:numFmt w:val="lowerLetter"/>
        <w:lvlText w:val="%8."/>
        <w:lvlJc w:val="left"/>
        <w:pPr>
          <w:ind w:left="5760" w:hanging="360"/>
        </w:pPr>
        <w:rPr>
          <w:rFonts w:ascii="Times New Roman" w:hAnsi="Times New Roman" w:cs="Times New Roman"/>
        </w:rPr>
      </w:lvl>
    </w:lvlOverride>
    <w:lvlOverride w:ilvl="8">
      <w:lvl w:ilvl="8" w:tplc="0409001B">
        <w:start w:val="1"/>
        <w:numFmt w:val="lowerRoman"/>
        <w:lvlText w:val="%9."/>
        <w:lvlJc w:val="right"/>
        <w:pPr>
          <w:ind w:left="6480" w:hanging="180"/>
        </w:pPr>
        <w:rPr>
          <w:rFonts w:ascii="Times New Roman" w:hAnsi="Times New Roman" w:cs="Times New Roman"/>
        </w:rPr>
      </w:lvl>
    </w:lvlOverride>
  </w:num>
  <w:num w:numId="3">
    <w:abstractNumId w:val="34"/>
  </w:num>
  <w:num w:numId="4">
    <w:abstractNumId w:val="6"/>
  </w:num>
  <w:num w:numId="5">
    <w:abstractNumId w:val="30"/>
    <w:lvlOverride w:ilvl="0">
      <w:lvl w:ilvl="0" w:tplc="27428718">
        <w:start w:val="1"/>
        <w:numFmt w:val="decimal"/>
        <w:lvlText w:val="%1."/>
        <w:lvlJc w:val="left"/>
        <w:pPr>
          <w:ind w:left="1134" w:hanging="54"/>
        </w:pPr>
        <w:rPr>
          <w:rFonts w:ascii="Times New Roman" w:hAnsi="Times New Roman" w:cs="Times New Roman" w:hint="default"/>
          <w:b w:val="0"/>
          <w:bCs w:val="0"/>
          <w:i w:val="0"/>
          <w:color w:val="auto"/>
          <w:sz w:val="24"/>
          <w:szCs w:val="24"/>
        </w:rPr>
      </w:lvl>
    </w:lvlOverride>
    <w:lvlOverride w:ilvl="1">
      <w:lvl w:ilvl="1" w:tplc="04090019">
        <w:start w:val="1"/>
        <w:numFmt w:val="lowerLetter"/>
        <w:lvlText w:val="%2."/>
        <w:lvlJc w:val="left"/>
        <w:pPr>
          <w:ind w:left="1440" w:hanging="360"/>
        </w:pPr>
        <w:rPr>
          <w:rFonts w:ascii="Times New Roman" w:hAnsi="Times New Roman" w:cs="Times New Roman"/>
        </w:rPr>
      </w:lvl>
    </w:lvlOverride>
    <w:lvlOverride w:ilvl="2">
      <w:lvl w:ilvl="2" w:tplc="0409001B">
        <w:start w:val="1"/>
        <w:numFmt w:val="lowerRoman"/>
        <w:lvlText w:val="%3."/>
        <w:lvlJc w:val="right"/>
        <w:pPr>
          <w:ind w:left="2160" w:hanging="180"/>
        </w:pPr>
        <w:rPr>
          <w:rFonts w:ascii="Times New Roman" w:hAnsi="Times New Roman" w:cs="Times New Roman"/>
        </w:rPr>
      </w:lvl>
    </w:lvlOverride>
    <w:lvlOverride w:ilvl="3">
      <w:lvl w:ilvl="3" w:tplc="0409000F">
        <w:start w:val="1"/>
        <w:numFmt w:val="decimal"/>
        <w:lvlText w:val="%4."/>
        <w:lvlJc w:val="left"/>
        <w:pPr>
          <w:ind w:left="2880" w:hanging="360"/>
        </w:pPr>
        <w:rPr>
          <w:rFonts w:ascii="Times New Roman" w:hAnsi="Times New Roman" w:cs="Times New Roman"/>
        </w:rPr>
      </w:lvl>
    </w:lvlOverride>
    <w:lvlOverride w:ilvl="4">
      <w:lvl w:ilvl="4" w:tplc="04090019">
        <w:start w:val="1"/>
        <w:numFmt w:val="lowerLetter"/>
        <w:lvlText w:val="%5."/>
        <w:lvlJc w:val="left"/>
        <w:pPr>
          <w:ind w:left="3600" w:hanging="360"/>
        </w:pPr>
        <w:rPr>
          <w:rFonts w:ascii="Times New Roman" w:hAnsi="Times New Roman" w:cs="Times New Roman"/>
        </w:rPr>
      </w:lvl>
    </w:lvlOverride>
    <w:lvlOverride w:ilvl="5">
      <w:lvl w:ilvl="5" w:tplc="0409001B">
        <w:start w:val="1"/>
        <w:numFmt w:val="lowerRoman"/>
        <w:lvlText w:val="%6."/>
        <w:lvlJc w:val="right"/>
        <w:pPr>
          <w:ind w:left="4320" w:hanging="180"/>
        </w:pPr>
        <w:rPr>
          <w:rFonts w:ascii="Times New Roman" w:hAnsi="Times New Roman" w:cs="Times New Roman"/>
        </w:rPr>
      </w:lvl>
    </w:lvlOverride>
    <w:lvlOverride w:ilvl="6">
      <w:lvl w:ilvl="6" w:tplc="0409000F">
        <w:start w:val="1"/>
        <w:numFmt w:val="decimal"/>
        <w:lvlText w:val="%7."/>
        <w:lvlJc w:val="left"/>
        <w:pPr>
          <w:ind w:left="5040" w:hanging="360"/>
        </w:pPr>
        <w:rPr>
          <w:rFonts w:ascii="Times New Roman" w:hAnsi="Times New Roman" w:cs="Times New Roman"/>
        </w:rPr>
      </w:lvl>
    </w:lvlOverride>
    <w:lvlOverride w:ilvl="7">
      <w:lvl w:ilvl="7" w:tplc="04090019">
        <w:start w:val="1"/>
        <w:numFmt w:val="lowerLetter"/>
        <w:lvlText w:val="%8."/>
        <w:lvlJc w:val="left"/>
        <w:pPr>
          <w:ind w:left="5760" w:hanging="360"/>
        </w:pPr>
        <w:rPr>
          <w:rFonts w:ascii="Times New Roman" w:hAnsi="Times New Roman" w:cs="Times New Roman"/>
        </w:rPr>
      </w:lvl>
    </w:lvlOverride>
    <w:lvlOverride w:ilvl="8">
      <w:lvl w:ilvl="8" w:tplc="0409001B">
        <w:start w:val="1"/>
        <w:numFmt w:val="lowerRoman"/>
        <w:lvlText w:val="%9."/>
        <w:lvlJc w:val="right"/>
        <w:pPr>
          <w:ind w:left="6480" w:hanging="180"/>
        </w:pPr>
        <w:rPr>
          <w:rFonts w:ascii="Times New Roman" w:hAnsi="Times New Roman" w:cs="Times New Roman"/>
        </w:rPr>
      </w:lvl>
    </w:lvlOverride>
  </w:num>
  <w:num w:numId="6">
    <w:abstractNumId w:val="3"/>
  </w:num>
  <w:num w:numId="7">
    <w:abstractNumId w:val="25"/>
  </w:num>
  <w:num w:numId="8">
    <w:abstractNumId w:val="14"/>
  </w:num>
  <w:num w:numId="9">
    <w:abstractNumId w:val="13"/>
  </w:num>
  <w:num w:numId="10">
    <w:abstractNumId w:val="19"/>
  </w:num>
  <w:num w:numId="11">
    <w:abstractNumId w:val="9"/>
  </w:num>
  <w:num w:numId="12">
    <w:abstractNumId w:val="0"/>
  </w:num>
  <w:num w:numId="13">
    <w:abstractNumId w:val="33"/>
  </w:num>
  <w:num w:numId="14">
    <w:abstractNumId w:val="17"/>
  </w:num>
  <w:num w:numId="15">
    <w:abstractNumId w:val="10"/>
  </w:num>
  <w:num w:numId="16">
    <w:abstractNumId w:val="24"/>
  </w:num>
  <w:num w:numId="17">
    <w:abstractNumId w:val="7"/>
  </w:num>
  <w:num w:numId="18">
    <w:abstractNumId w:val="26"/>
  </w:num>
  <w:num w:numId="19">
    <w:abstractNumId w:val="12"/>
  </w:num>
  <w:num w:numId="20">
    <w:abstractNumId w:val="5"/>
  </w:num>
  <w:num w:numId="21">
    <w:abstractNumId w:val="21"/>
  </w:num>
  <w:num w:numId="22">
    <w:abstractNumId w:val="27"/>
  </w:num>
  <w:num w:numId="23">
    <w:abstractNumId w:val="29"/>
  </w:num>
  <w:num w:numId="24">
    <w:abstractNumId w:val="22"/>
  </w:num>
  <w:num w:numId="25">
    <w:abstractNumId w:val="20"/>
  </w:num>
  <w:num w:numId="26">
    <w:abstractNumId w:val="16"/>
  </w:num>
  <w:num w:numId="27">
    <w:abstractNumId w:val="31"/>
  </w:num>
  <w:num w:numId="28">
    <w:abstractNumId w:val="4"/>
  </w:num>
  <w:num w:numId="29">
    <w:abstractNumId w:val="30"/>
    <w:lvlOverride w:ilvl="0">
      <w:lvl w:ilvl="0" w:tplc="27428718">
        <w:start w:val="1"/>
        <w:numFmt w:val="decimal"/>
        <w:lvlText w:val="%1."/>
        <w:lvlJc w:val="left"/>
        <w:pPr>
          <w:ind w:left="1134" w:hanging="54"/>
        </w:pPr>
        <w:rPr>
          <w:rFonts w:ascii="Times New Roman" w:hAnsi="Times New Roman" w:cs="Times New Roman" w:hint="default"/>
          <w:b w:val="0"/>
          <w:bCs w:val="0"/>
          <w:i w:val="0"/>
          <w:color w:val="auto"/>
          <w:sz w:val="24"/>
          <w:szCs w:val="24"/>
        </w:rPr>
      </w:lvl>
    </w:lvlOverride>
    <w:lvlOverride w:ilvl="1">
      <w:lvl w:ilvl="1" w:tplc="04090019">
        <w:start w:val="1"/>
        <w:numFmt w:val="lowerLetter"/>
        <w:lvlText w:val="%2."/>
        <w:lvlJc w:val="left"/>
        <w:pPr>
          <w:ind w:left="1440" w:hanging="360"/>
        </w:pPr>
        <w:rPr>
          <w:rFonts w:ascii="Times New Roman" w:hAnsi="Times New Roman" w:cs="Times New Roman"/>
        </w:rPr>
      </w:lvl>
    </w:lvlOverride>
    <w:lvlOverride w:ilvl="2">
      <w:lvl w:ilvl="2" w:tplc="0409001B">
        <w:start w:val="1"/>
        <w:numFmt w:val="lowerRoman"/>
        <w:lvlText w:val="%3."/>
        <w:lvlJc w:val="right"/>
        <w:pPr>
          <w:ind w:left="2160" w:hanging="180"/>
        </w:pPr>
        <w:rPr>
          <w:rFonts w:ascii="Times New Roman" w:hAnsi="Times New Roman" w:cs="Times New Roman"/>
        </w:rPr>
      </w:lvl>
    </w:lvlOverride>
    <w:lvlOverride w:ilvl="3">
      <w:lvl w:ilvl="3" w:tplc="0409000F">
        <w:start w:val="1"/>
        <w:numFmt w:val="decimal"/>
        <w:lvlText w:val="%4."/>
        <w:lvlJc w:val="left"/>
        <w:pPr>
          <w:ind w:left="2880" w:hanging="360"/>
        </w:pPr>
        <w:rPr>
          <w:rFonts w:ascii="Times New Roman" w:hAnsi="Times New Roman" w:cs="Times New Roman"/>
        </w:rPr>
      </w:lvl>
    </w:lvlOverride>
    <w:lvlOverride w:ilvl="4">
      <w:lvl w:ilvl="4" w:tplc="04090019">
        <w:start w:val="1"/>
        <w:numFmt w:val="lowerLetter"/>
        <w:lvlText w:val="%5."/>
        <w:lvlJc w:val="left"/>
        <w:pPr>
          <w:ind w:left="3600" w:hanging="360"/>
        </w:pPr>
        <w:rPr>
          <w:rFonts w:ascii="Times New Roman" w:hAnsi="Times New Roman" w:cs="Times New Roman"/>
        </w:rPr>
      </w:lvl>
    </w:lvlOverride>
    <w:lvlOverride w:ilvl="5">
      <w:lvl w:ilvl="5" w:tplc="0409001B">
        <w:start w:val="1"/>
        <w:numFmt w:val="lowerRoman"/>
        <w:lvlText w:val="%6."/>
        <w:lvlJc w:val="right"/>
        <w:pPr>
          <w:ind w:left="4320" w:hanging="180"/>
        </w:pPr>
        <w:rPr>
          <w:rFonts w:ascii="Times New Roman" w:hAnsi="Times New Roman" w:cs="Times New Roman"/>
        </w:rPr>
      </w:lvl>
    </w:lvlOverride>
    <w:lvlOverride w:ilvl="6">
      <w:lvl w:ilvl="6" w:tplc="0409000F">
        <w:start w:val="1"/>
        <w:numFmt w:val="decimal"/>
        <w:lvlText w:val="%7."/>
        <w:lvlJc w:val="left"/>
        <w:pPr>
          <w:ind w:left="5040" w:hanging="360"/>
        </w:pPr>
        <w:rPr>
          <w:rFonts w:ascii="Times New Roman" w:hAnsi="Times New Roman" w:cs="Times New Roman"/>
        </w:rPr>
      </w:lvl>
    </w:lvlOverride>
    <w:lvlOverride w:ilvl="7">
      <w:lvl w:ilvl="7" w:tplc="04090019">
        <w:start w:val="1"/>
        <w:numFmt w:val="lowerLetter"/>
        <w:lvlText w:val="%8."/>
        <w:lvlJc w:val="left"/>
        <w:pPr>
          <w:ind w:left="5760" w:hanging="360"/>
        </w:pPr>
        <w:rPr>
          <w:rFonts w:ascii="Times New Roman" w:hAnsi="Times New Roman" w:cs="Times New Roman"/>
        </w:rPr>
      </w:lvl>
    </w:lvlOverride>
    <w:lvlOverride w:ilvl="8">
      <w:lvl w:ilvl="8" w:tplc="0409001B">
        <w:start w:val="1"/>
        <w:numFmt w:val="lowerRoman"/>
        <w:lvlText w:val="%9."/>
        <w:lvlJc w:val="right"/>
        <w:pPr>
          <w:ind w:left="6480" w:hanging="180"/>
        </w:pPr>
        <w:rPr>
          <w:rFonts w:ascii="Times New Roman" w:hAnsi="Times New Roman" w:cs="Times New Roman"/>
        </w:rPr>
      </w:lvl>
    </w:lvlOverride>
  </w:num>
  <w:num w:numId="30">
    <w:abstractNumId w:val="35"/>
  </w:num>
  <w:num w:numId="31">
    <w:abstractNumId w:val="1"/>
  </w:num>
  <w:num w:numId="32">
    <w:abstractNumId w:val="18"/>
  </w:num>
  <w:num w:numId="33">
    <w:abstractNumId w:val="15"/>
  </w:num>
  <w:num w:numId="34">
    <w:abstractNumId w:val="30"/>
  </w:num>
  <w:num w:numId="35">
    <w:abstractNumId w:val="11"/>
  </w:num>
  <w:num w:numId="36">
    <w:abstractNumId w:val="8"/>
  </w:num>
  <w:num w:numId="37">
    <w:abstractNumId w:val="23"/>
  </w:num>
  <w:num w:numId="38">
    <w:abstractNumId w:val="28"/>
  </w:num>
  <w:num w:numId="39">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E3"/>
    <w:rsid w:val="00007300"/>
    <w:rsid w:val="0001188F"/>
    <w:rsid w:val="0001456E"/>
    <w:rsid w:val="00017319"/>
    <w:rsid w:val="00021DDF"/>
    <w:rsid w:val="0002383B"/>
    <w:rsid w:val="00024640"/>
    <w:rsid w:val="00034B43"/>
    <w:rsid w:val="00040906"/>
    <w:rsid w:val="000426C7"/>
    <w:rsid w:val="000438AE"/>
    <w:rsid w:val="00045519"/>
    <w:rsid w:val="00046545"/>
    <w:rsid w:val="0005239E"/>
    <w:rsid w:val="00052CC6"/>
    <w:rsid w:val="00055FA1"/>
    <w:rsid w:val="00056D87"/>
    <w:rsid w:val="00057390"/>
    <w:rsid w:val="00057C74"/>
    <w:rsid w:val="00071016"/>
    <w:rsid w:val="0007197B"/>
    <w:rsid w:val="00071DD2"/>
    <w:rsid w:val="000812B5"/>
    <w:rsid w:val="00083E32"/>
    <w:rsid w:val="0008504E"/>
    <w:rsid w:val="000908E2"/>
    <w:rsid w:val="00097015"/>
    <w:rsid w:val="000A1D16"/>
    <w:rsid w:val="000A1EAD"/>
    <w:rsid w:val="000A3081"/>
    <w:rsid w:val="000A3082"/>
    <w:rsid w:val="000B5DFA"/>
    <w:rsid w:val="000C16B5"/>
    <w:rsid w:val="000D2109"/>
    <w:rsid w:val="000D70C6"/>
    <w:rsid w:val="000D73CE"/>
    <w:rsid w:val="000D7463"/>
    <w:rsid w:val="000E1D69"/>
    <w:rsid w:val="000E6B8D"/>
    <w:rsid w:val="000F1BD5"/>
    <w:rsid w:val="000F48FD"/>
    <w:rsid w:val="0010261D"/>
    <w:rsid w:val="001061A8"/>
    <w:rsid w:val="00114A29"/>
    <w:rsid w:val="00117E2D"/>
    <w:rsid w:val="001208EE"/>
    <w:rsid w:val="00122310"/>
    <w:rsid w:val="00125096"/>
    <w:rsid w:val="00131374"/>
    <w:rsid w:val="00131C02"/>
    <w:rsid w:val="001431BE"/>
    <w:rsid w:val="00143ADE"/>
    <w:rsid w:val="00144D44"/>
    <w:rsid w:val="00151765"/>
    <w:rsid w:val="00151A9F"/>
    <w:rsid w:val="00161D47"/>
    <w:rsid w:val="00165353"/>
    <w:rsid w:val="001717F8"/>
    <w:rsid w:val="00174A65"/>
    <w:rsid w:val="001756A7"/>
    <w:rsid w:val="001963AD"/>
    <w:rsid w:val="001A4928"/>
    <w:rsid w:val="001A639F"/>
    <w:rsid w:val="001A7D8D"/>
    <w:rsid w:val="001B0F0A"/>
    <w:rsid w:val="001B70FC"/>
    <w:rsid w:val="001B7C20"/>
    <w:rsid w:val="001C1CF7"/>
    <w:rsid w:val="001D0769"/>
    <w:rsid w:val="001D597E"/>
    <w:rsid w:val="001D7BD9"/>
    <w:rsid w:val="001E0F28"/>
    <w:rsid w:val="001E3A1F"/>
    <w:rsid w:val="001E4C11"/>
    <w:rsid w:val="001E56F3"/>
    <w:rsid w:val="001E6B11"/>
    <w:rsid w:val="001F18B5"/>
    <w:rsid w:val="001F5FFF"/>
    <w:rsid w:val="001F625C"/>
    <w:rsid w:val="002143D2"/>
    <w:rsid w:val="0022107A"/>
    <w:rsid w:val="00222725"/>
    <w:rsid w:val="0023115C"/>
    <w:rsid w:val="00231624"/>
    <w:rsid w:val="00232A5E"/>
    <w:rsid w:val="00235320"/>
    <w:rsid w:val="0024057E"/>
    <w:rsid w:val="00246327"/>
    <w:rsid w:val="0024683E"/>
    <w:rsid w:val="00252F15"/>
    <w:rsid w:val="0025480B"/>
    <w:rsid w:val="00255341"/>
    <w:rsid w:val="002555BA"/>
    <w:rsid w:val="002577DF"/>
    <w:rsid w:val="0026035D"/>
    <w:rsid w:val="00260A46"/>
    <w:rsid w:val="00261AA9"/>
    <w:rsid w:val="00261C7F"/>
    <w:rsid w:val="002632DE"/>
    <w:rsid w:val="00271D1A"/>
    <w:rsid w:val="00276289"/>
    <w:rsid w:val="00280311"/>
    <w:rsid w:val="00283DBB"/>
    <w:rsid w:val="00286042"/>
    <w:rsid w:val="00291C18"/>
    <w:rsid w:val="0029619C"/>
    <w:rsid w:val="002A1A36"/>
    <w:rsid w:val="002A3C83"/>
    <w:rsid w:val="002A3E28"/>
    <w:rsid w:val="002A54E0"/>
    <w:rsid w:val="002A7C97"/>
    <w:rsid w:val="002C231A"/>
    <w:rsid w:val="002C55A9"/>
    <w:rsid w:val="002D1577"/>
    <w:rsid w:val="002D4CCF"/>
    <w:rsid w:val="002E0D4A"/>
    <w:rsid w:val="002E0F43"/>
    <w:rsid w:val="002E1D36"/>
    <w:rsid w:val="002F7A2F"/>
    <w:rsid w:val="003021B0"/>
    <w:rsid w:val="0030624D"/>
    <w:rsid w:val="00307C6F"/>
    <w:rsid w:val="0031189F"/>
    <w:rsid w:val="00312204"/>
    <w:rsid w:val="0031223D"/>
    <w:rsid w:val="00316322"/>
    <w:rsid w:val="0033376F"/>
    <w:rsid w:val="00333C51"/>
    <w:rsid w:val="00341A40"/>
    <w:rsid w:val="00342ECC"/>
    <w:rsid w:val="003460AE"/>
    <w:rsid w:val="00352F01"/>
    <w:rsid w:val="003561BC"/>
    <w:rsid w:val="00361A3B"/>
    <w:rsid w:val="00364DF0"/>
    <w:rsid w:val="00365FEB"/>
    <w:rsid w:val="003660D9"/>
    <w:rsid w:val="00367BBB"/>
    <w:rsid w:val="00374D3C"/>
    <w:rsid w:val="00377B25"/>
    <w:rsid w:val="003816C1"/>
    <w:rsid w:val="00386E7C"/>
    <w:rsid w:val="003924CC"/>
    <w:rsid w:val="0039402A"/>
    <w:rsid w:val="00395882"/>
    <w:rsid w:val="003A0D03"/>
    <w:rsid w:val="003A56D2"/>
    <w:rsid w:val="003B02B9"/>
    <w:rsid w:val="003C14DA"/>
    <w:rsid w:val="003C55B5"/>
    <w:rsid w:val="003D235A"/>
    <w:rsid w:val="003D7712"/>
    <w:rsid w:val="003E1C57"/>
    <w:rsid w:val="003E4503"/>
    <w:rsid w:val="003E6354"/>
    <w:rsid w:val="003F04B9"/>
    <w:rsid w:val="003F44A4"/>
    <w:rsid w:val="003F57B7"/>
    <w:rsid w:val="003F7E85"/>
    <w:rsid w:val="00400607"/>
    <w:rsid w:val="0040148F"/>
    <w:rsid w:val="00402ABA"/>
    <w:rsid w:val="00404C0B"/>
    <w:rsid w:val="00404E8C"/>
    <w:rsid w:val="00405922"/>
    <w:rsid w:val="0040632D"/>
    <w:rsid w:val="00406561"/>
    <w:rsid w:val="0042141B"/>
    <w:rsid w:val="00424A34"/>
    <w:rsid w:val="0042707A"/>
    <w:rsid w:val="004307F2"/>
    <w:rsid w:val="0044606B"/>
    <w:rsid w:val="00455426"/>
    <w:rsid w:val="00461C61"/>
    <w:rsid w:val="0046519C"/>
    <w:rsid w:val="00465DA3"/>
    <w:rsid w:val="0047684C"/>
    <w:rsid w:val="00477A96"/>
    <w:rsid w:val="00477C9E"/>
    <w:rsid w:val="00477F94"/>
    <w:rsid w:val="004868E6"/>
    <w:rsid w:val="00490D68"/>
    <w:rsid w:val="00493C2E"/>
    <w:rsid w:val="00494B11"/>
    <w:rsid w:val="004A3241"/>
    <w:rsid w:val="004B3A9E"/>
    <w:rsid w:val="004B4848"/>
    <w:rsid w:val="004B5F70"/>
    <w:rsid w:val="004C1458"/>
    <w:rsid w:val="004C5085"/>
    <w:rsid w:val="004D28DF"/>
    <w:rsid w:val="004D476F"/>
    <w:rsid w:val="004D60F5"/>
    <w:rsid w:val="004E0921"/>
    <w:rsid w:val="004E46EE"/>
    <w:rsid w:val="004F6C4D"/>
    <w:rsid w:val="005035E0"/>
    <w:rsid w:val="00505084"/>
    <w:rsid w:val="00516C48"/>
    <w:rsid w:val="00517184"/>
    <w:rsid w:val="0052688D"/>
    <w:rsid w:val="00527A41"/>
    <w:rsid w:val="00532269"/>
    <w:rsid w:val="005322B0"/>
    <w:rsid w:val="00533ACE"/>
    <w:rsid w:val="00541174"/>
    <w:rsid w:val="005464FD"/>
    <w:rsid w:val="00556447"/>
    <w:rsid w:val="00556C3B"/>
    <w:rsid w:val="005649C2"/>
    <w:rsid w:val="005657DA"/>
    <w:rsid w:val="00570948"/>
    <w:rsid w:val="00572429"/>
    <w:rsid w:val="00584A99"/>
    <w:rsid w:val="005A0B68"/>
    <w:rsid w:val="005A4D3A"/>
    <w:rsid w:val="005A67B4"/>
    <w:rsid w:val="005A7767"/>
    <w:rsid w:val="005A77DD"/>
    <w:rsid w:val="005B585B"/>
    <w:rsid w:val="005B7377"/>
    <w:rsid w:val="005C3A15"/>
    <w:rsid w:val="005C4750"/>
    <w:rsid w:val="005C6428"/>
    <w:rsid w:val="005D0207"/>
    <w:rsid w:val="005D30FE"/>
    <w:rsid w:val="005D72CB"/>
    <w:rsid w:val="005D7470"/>
    <w:rsid w:val="005E537B"/>
    <w:rsid w:val="005E7133"/>
    <w:rsid w:val="005F277B"/>
    <w:rsid w:val="005F3048"/>
    <w:rsid w:val="0060071A"/>
    <w:rsid w:val="0060282D"/>
    <w:rsid w:val="006032A1"/>
    <w:rsid w:val="00616014"/>
    <w:rsid w:val="00642311"/>
    <w:rsid w:val="00643C50"/>
    <w:rsid w:val="0064559E"/>
    <w:rsid w:val="00647D24"/>
    <w:rsid w:val="0065254E"/>
    <w:rsid w:val="00654F24"/>
    <w:rsid w:val="00656BCE"/>
    <w:rsid w:val="00657FA1"/>
    <w:rsid w:val="006617BA"/>
    <w:rsid w:val="006636CD"/>
    <w:rsid w:val="00665304"/>
    <w:rsid w:val="00672B19"/>
    <w:rsid w:val="00677679"/>
    <w:rsid w:val="00680F4B"/>
    <w:rsid w:val="0068145E"/>
    <w:rsid w:val="00681E1C"/>
    <w:rsid w:val="00684EAD"/>
    <w:rsid w:val="00696C52"/>
    <w:rsid w:val="006A34CF"/>
    <w:rsid w:val="006A3766"/>
    <w:rsid w:val="006A5D96"/>
    <w:rsid w:val="006B1130"/>
    <w:rsid w:val="006B2AF8"/>
    <w:rsid w:val="006C4879"/>
    <w:rsid w:val="006C7AEE"/>
    <w:rsid w:val="006D652D"/>
    <w:rsid w:val="006D6913"/>
    <w:rsid w:val="006D6C98"/>
    <w:rsid w:val="006E1EC8"/>
    <w:rsid w:val="006F3EE7"/>
    <w:rsid w:val="006F774E"/>
    <w:rsid w:val="006F79F2"/>
    <w:rsid w:val="00714077"/>
    <w:rsid w:val="00720653"/>
    <w:rsid w:val="00721A33"/>
    <w:rsid w:val="007221EF"/>
    <w:rsid w:val="00723510"/>
    <w:rsid w:val="007259A9"/>
    <w:rsid w:val="00733B1F"/>
    <w:rsid w:val="0073438D"/>
    <w:rsid w:val="00741C4A"/>
    <w:rsid w:val="00742582"/>
    <w:rsid w:val="007445CE"/>
    <w:rsid w:val="00756E08"/>
    <w:rsid w:val="00761D30"/>
    <w:rsid w:val="007646CC"/>
    <w:rsid w:val="007709F7"/>
    <w:rsid w:val="00774525"/>
    <w:rsid w:val="00780685"/>
    <w:rsid w:val="00786970"/>
    <w:rsid w:val="00790BC6"/>
    <w:rsid w:val="00791464"/>
    <w:rsid w:val="007925CC"/>
    <w:rsid w:val="007A16CE"/>
    <w:rsid w:val="007A1804"/>
    <w:rsid w:val="007A5381"/>
    <w:rsid w:val="007B7126"/>
    <w:rsid w:val="007B7DB1"/>
    <w:rsid w:val="007C13BC"/>
    <w:rsid w:val="007D173B"/>
    <w:rsid w:val="007E15E0"/>
    <w:rsid w:val="007E4DAF"/>
    <w:rsid w:val="007E7FFE"/>
    <w:rsid w:val="007F0DB4"/>
    <w:rsid w:val="007F37CA"/>
    <w:rsid w:val="007F546D"/>
    <w:rsid w:val="007F5B1A"/>
    <w:rsid w:val="007F5D13"/>
    <w:rsid w:val="00802F12"/>
    <w:rsid w:val="00805039"/>
    <w:rsid w:val="00821B83"/>
    <w:rsid w:val="00822888"/>
    <w:rsid w:val="00823766"/>
    <w:rsid w:val="00825DC5"/>
    <w:rsid w:val="00826888"/>
    <w:rsid w:val="00830408"/>
    <w:rsid w:val="00830FD1"/>
    <w:rsid w:val="008317C8"/>
    <w:rsid w:val="008360FC"/>
    <w:rsid w:val="00836F35"/>
    <w:rsid w:val="00842967"/>
    <w:rsid w:val="00843DD2"/>
    <w:rsid w:val="00844D10"/>
    <w:rsid w:val="00851BC0"/>
    <w:rsid w:val="00856657"/>
    <w:rsid w:val="00856DE1"/>
    <w:rsid w:val="0085776E"/>
    <w:rsid w:val="008642E0"/>
    <w:rsid w:val="00865E9D"/>
    <w:rsid w:val="0087384D"/>
    <w:rsid w:val="008772DA"/>
    <w:rsid w:val="00883189"/>
    <w:rsid w:val="00883288"/>
    <w:rsid w:val="00883AA8"/>
    <w:rsid w:val="00890A26"/>
    <w:rsid w:val="008925E3"/>
    <w:rsid w:val="008B19E2"/>
    <w:rsid w:val="008B233B"/>
    <w:rsid w:val="008B2C3D"/>
    <w:rsid w:val="008B3D04"/>
    <w:rsid w:val="008C187F"/>
    <w:rsid w:val="008C2353"/>
    <w:rsid w:val="008C5147"/>
    <w:rsid w:val="008D705F"/>
    <w:rsid w:val="008E31C7"/>
    <w:rsid w:val="008F5178"/>
    <w:rsid w:val="008F7368"/>
    <w:rsid w:val="009039BD"/>
    <w:rsid w:val="00906B5A"/>
    <w:rsid w:val="009109C5"/>
    <w:rsid w:val="00916193"/>
    <w:rsid w:val="00920FCA"/>
    <w:rsid w:val="009243A9"/>
    <w:rsid w:val="009252B7"/>
    <w:rsid w:val="00933610"/>
    <w:rsid w:val="00943A2E"/>
    <w:rsid w:val="00954705"/>
    <w:rsid w:val="00957423"/>
    <w:rsid w:val="009633A5"/>
    <w:rsid w:val="009635D5"/>
    <w:rsid w:val="00982584"/>
    <w:rsid w:val="00982C75"/>
    <w:rsid w:val="00983B2F"/>
    <w:rsid w:val="009856F1"/>
    <w:rsid w:val="009A44BA"/>
    <w:rsid w:val="009A7307"/>
    <w:rsid w:val="009A775E"/>
    <w:rsid w:val="009C00B7"/>
    <w:rsid w:val="009C0184"/>
    <w:rsid w:val="009C3520"/>
    <w:rsid w:val="009D0F64"/>
    <w:rsid w:val="009D11D1"/>
    <w:rsid w:val="009D3E1D"/>
    <w:rsid w:val="009E0304"/>
    <w:rsid w:val="009E0730"/>
    <w:rsid w:val="009E1F2A"/>
    <w:rsid w:val="009E60B2"/>
    <w:rsid w:val="009E61D0"/>
    <w:rsid w:val="009E78DA"/>
    <w:rsid w:val="009F5CE3"/>
    <w:rsid w:val="009F62E3"/>
    <w:rsid w:val="009F6376"/>
    <w:rsid w:val="009F7244"/>
    <w:rsid w:val="00A0060E"/>
    <w:rsid w:val="00A04775"/>
    <w:rsid w:val="00A1526F"/>
    <w:rsid w:val="00A20BA4"/>
    <w:rsid w:val="00A22336"/>
    <w:rsid w:val="00A25D5F"/>
    <w:rsid w:val="00A2700E"/>
    <w:rsid w:val="00A3389D"/>
    <w:rsid w:val="00A4300C"/>
    <w:rsid w:val="00A4627A"/>
    <w:rsid w:val="00A5002D"/>
    <w:rsid w:val="00A63A97"/>
    <w:rsid w:val="00A64C0B"/>
    <w:rsid w:val="00A65D6F"/>
    <w:rsid w:val="00A706A8"/>
    <w:rsid w:val="00A711AB"/>
    <w:rsid w:val="00A7166D"/>
    <w:rsid w:val="00A71AF9"/>
    <w:rsid w:val="00A75B58"/>
    <w:rsid w:val="00A919CE"/>
    <w:rsid w:val="00A96AFA"/>
    <w:rsid w:val="00AA1184"/>
    <w:rsid w:val="00AA214F"/>
    <w:rsid w:val="00AA728E"/>
    <w:rsid w:val="00AB1615"/>
    <w:rsid w:val="00AB2B46"/>
    <w:rsid w:val="00AB6276"/>
    <w:rsid w:val="00AC21A9"/>
    <w:rsid w:val="00AC3E71"/>
    <w:rsid w:val="00AC489E"/>
    <w:rsid w:val="00AD01E9"/>
    <w:rsid w:val="00AD0FF5"/>
    <w:rsid w:val="00AD187D"/>
    <w:rsid w:val="00AD65E1"/>
    <w:rsid w:val="00AE0462"/>
    <w:rsid w:val="00AE4DD6"/>
    <w:rsid w:val="00AF0E2E"/>
    <w:rsid w:val="00AF5B56"/>
    <w:rsid w:val="00B01A0A"/>
    <w:rsid w:val="00B0274A"/>
    <w:rsid w:val="00B03C11"/>
    <w:rsid w:val="00B11C4E"/>
    <w:rsid w:val="00B161F6"/>
    <w:rsid w:val="00B35865"/>
    <w:rsid w:val="00B35B50"/>
    <w:rsid w:val="00B409BD"/>
    <w:rsid w:val="00B502E3"/>
    <w:rsid w:val="00B55FEA"/>
    <w:rsid w:val="00B7356A"/>
    <w:rsid w:val="00B763C1"/>
    <w:rsid w:val="00B8440F"/>
    <w:rsid w:val="00B855E9"/>
    <w:rsid w:val="00B93509"/>
    <w:rsid w:val="00B951A8"/>
    <w:rsid w:val="00BA00C4"/>
    <w:rsid w:val="00BA4F5B"/>
    <w:rsid w:val="00BA51FF"/>
    <w:rsid w:val="00BA6519"/>
    <w:rsid w:val="00BB002B"/>
    <w:rsid w:val="00BB1669"/>
    <w:rsid w:val="00BC087E"/>
    <w:rsid w:val="00BC1045"/>
    <w:rsid w:val="00BC54DC"/>
    <w:rsid w:val="00BC798A"/>
    <w:rsid w:val="00BD2163"/>
    <w:rsid w:val="00BD4472"/>
    <w:rsid w:val="00BD51E3"/>
    <w:rsid w:val="00BE332D"/>
    <w:rsid w:val="00BE772B"/>
    <w:rsid w:val="00BF0C38"/>
    <w:rsid w:val="00BF1777"/>
    <w:rsid w:val="00BF2BFB"/>
    <w:rsid w:val="00BF4DFA"/>
    <w:rsid w:val="00BF607A"/>
    <w:rsid w:val="00C11039"/>
    <w:rsid w:val="00C2305A"/>
    <w:rsid w:val="00C30EBB"/>
    <w:rsid w:val="00C32822"/>
    <w:rsid w:val="00C34A2A"/>
    <w:rsid w:val="00C34AA7"/>
    <w:rsid w:val="00C3581D"/>
    <w:rsid w:val="00C36D23"/>
    <w:rsid w:val="00C42497"/>
    <w:rsid w:val="00C50CFE"/>
    <w:rsid w:val="00C541B1"/>
    <w:rsid w:val="00C5433C"/>
    <w:rsid w:val="00C56F06"/>
    <w:rsid w:val="00C64933"/>
    <w:rsid w:val="00C649B3"/>
    <w:rsid w:val="00C65B05"/>
    <w:rsid w:val="00C742BE"/>
    <w:rsid w:val="00C74DF8"/>
    <w:rsid w:val="00C8158C"/>
    <w:rsid w:val="00C83DE3"/>
    <w:rsid w:val="00C84807"/>
    <w:rsid w:val="00CA701B"/>
    <w:rsid w:val="00CB0CC1"/>
    <w:rsid w:val="00CB30BA"/>
    <w:rsid w:val="00CB3E98"/>
    <w:rsid w:val="00CB4279"/>
    <w:rsid w:val="00CB608F"/>
    <w:rsid w:val="00CC3C61"/>
    <w:rsid w:val="00CC7495"/>
    <w:rsid w:val="00CD02E7"/>
    <w:rsid w:val="00CD750D"/>
    <w:rsid w:val="00CF0306"/>
    <w:rsid w:val="00CF3044"/>
    <w:rsid w:val="00CF4ED0"/>
    <w:rsid w:val="00D000E4"/>
    <w:rsid w:val="00D05F7E"/>
    <w:rsid w:val="00D156B0"/>
    <w:rsid w:val="00D22491"/>
    <w:rsid w:val="00D26B05"/>
    <w:rsid w:val="00D35D00"/>
    <w:rsid w:val="00D44185"/>
    <w:rsid w:val="00D44808"/>
    <w:rsid w:val="00D47282"/>
    <w:rsid w:val="00D53DD7"/>
    <w:rsid w:val="00D56F48"/>
    <w:rsid w:val="00D64C6C"/>
    <w:rsid w:val="00D72ED4"/>
    <w:rsid w:val="00D80C73"/>
    <w:rsid w:val="00D87C74"/>
    <w:rsid w:val="00D9242A"/>
    <w:rsid w:val="00D97EA8"/>
    <w:rsid w:val="00DA0EF9"/>
    <w:rsid w:val="00DA42F2"/>
    <w:rsid w:val="00DA4373"/>
    <w:rsid w:val="00DA4A10"/>
    <w:rsid w:val="00DC18A6"/>
    <w:rsid w:val="00DC2D47"/>
    <w:rsid w:val="00DC5A40"/>
    <w:rsid w:val="00DC71D2"/>
    <w:rsid w:val="00DD1C52"/>
    <w:rsid w:val="00DE49D8"/>
    <w:rsid w:val="00DE77C8"/>
    <w:rsid w:val="00DF14F1"/>
    <w:rsid w:val="00DF30CE"/>
    <w:rsid w:val="00E01A30"/>
    <w:rsid w:val="00E0299A"/>
    <w:rsid w:val="00E06071"/>
    <w:rsid w:val="00E07B98"/>
    <w:rsid w:val="00E111C5"/>
    <w:rsid w:val="00E145D5"/>
    <w:rsid w:val="00E2101C"/>
    <w:rsid w:val="00E43EEE"/>
    <w:rsid w:val="00E44651"/>
    <w:rsid w:val="00E51FEA"/>
    <w:rsid w:val="00E54BA1"/>
    <w:rsid w:val="00E67E46"/>
    <w:rsid w:val="00E71075"/>
    <w:rsid w:val="00E71F81"/>
    <w:rsid w:val="00E731E4"/>
    <w:rsid w:val="00E806E4"/>
    <w:rsid w:val="00E83405"/>
    <w:rsid w:val="00E850F5"/>
    <w:rsid w:val="00EA2D3A"/>
    <w:rsid w:val="00EB2ADB"/>
    <w:rsid w:val="00EB3775"/>
    <w:rsid w:val="00EB3EDE"/>
    <w:rsid w:val="00EB5F21"/>
    <w:rsid w:val="00EB600A"/>
    <w:rsid w:val="00EC1847"/>
    <w:rsid w:val="00EC1FA0"/>
    <w:rsid w:val="00EC611F"/>
    <w:rsid w:val="00ED2119"/>
    <w:rsid w:val="00EE1327"/>
    <w:rsid w:val="00EE21B0"/>
    <w:rsid w:val="00EE378F"/>
    <w:rsid w:val="00EF07E5"/>
    <w:rsid w:val="00EF27A7"/>
    <w:rsid w:val="00EF4B51"/>
    <w:rsid w:val="00F04788"/>
    <w:rsid w:val="00F055F0"/>
    <w:rsid w:val="00F10E22"/>
    <w:rsid w:val="00F111C6"/>
    <w:rsid w:val="00F2097A"/>
    <w:rsid w:val="00F223B8"/>
    <w:rsid w:val="00F36EA5"/>
    <w:rsid w:val="00F40055"/>
    <w:rsid w:val="00F527D5"/>
    <w:rsid w:val="00F606CC"/>
    <w:rsid w:val="00F62270"/>
    <w:rsid w:val="00F63312"/>
    <w:rsid w:val="00F6503C"/>
    <w:rsid w:val="00F84C08"/>
    <w:rsid w:val="00F86448"/>
    <w:rsid w:val="00F9188A"/>
    <w:rsid w:val="00FA2277"/>
    <w:rsid w:val="00FB02E9"/>
    <w:rsid w:val="00FB0933"/>
    <w:rsid w:val="00FB1E2E"/>
    <w:rsid w:val="00FC36D4"/>
    <w:rsid w:val="00FD0E29"/>
    <w:rsid w:val="00FE0335"/>
    <w:rsid w:val="00FE1658"/>
    <w:rsid w:val="00FF1C80"/>
    <w:rsid w:val="00FF2AF8"/>
    <w:rsid w:val="00FF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EE1B8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Helvetic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32269"/>
    <w:pPr>
      <w:keepNext/>
      <w:keepLines/>
      <w:numPr>
        <w:numId w:val="1"/>
      </w:numPr>
      <w:spacing w:before="480" w:after="480"/>
      <w:contextualSpacing/>
      <w:jc w:val="center"/>
      <w:outlineLvl w:val="0"/>
    </w:pPr>
    <w:rPr>
      <w:rFonts w:eastAsia="Calibri" w:cs="Times New Roman"/>
      <w:b/>
      <w:bCs/>
      <w:smallCaps/>
      <w:sz w:val="28"/>
      <w:szCs w:val="28"/>
      <w:lang w:eastAsia="en-US"/>
    </w:rPr>
  </w:style>
  <w:style w:type="paragraph" w:styleId="Heading2">
    <w:name w:val="heading 2"/>
    <w:basedOn w:val="Normal"/>
    <w:next w:val="Normal"/>
    <w:link w:val="Heading2Char"/>
    <w:uiPriority w:val="9"/>
    <w:unhideWhenUsed/>
    <w:qFormat/>
    <w:rsid w:val="00DA42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28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2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532269"/>
    <w:rPr>
      <w:rFonts w:eastAsia="Calibri" w:cs="Times New Roman"/>
      <w:b/>
      <w:bCs/>
      <w:smallCaps/>
      <w:sz w:val="28"/>
      <w:szCs w:val="28"/>
      <w:lang w:eastAsia="en-US"/>
    </w:rPr>
  </w:style>
  <w:style w:type="paragraph" w:styleId="ListParagraph">
    <w:name w:val="List Paragraph"/>
    <w:aliases w:val="List Paragraph (numbered (a)),Use Case List Paragraph"/>
    <w:basedOn w:val="Normal"/>
    <w:link w:val="ListParagraphChar"/>
    <w:uiPriority w:val="99"/>
    <w:qFormat/>
    <w:rsid w:val="001D0769"/>
    <w:pPr>
      <w:ind w:left="720"/>
      <w:contextualSpacing/>
    </w:pPr>
  </w:style>
  <w:style w:type="paragraph" w:styleId="TOC1">
    <w:name w:val="toc 1"/>
    <w:basedOn w:val="Normal"/>
    <w:next w:val="Normal"/>
    <w:autoRedefine/>
    <w:uiPriority w:val="39"/>
    <w:rsid w:val="00B409BD"/>
    <w:pPr>
      <w:tabs>
        <w:tab w:val="right" w:leader="dot" w:pos="9000"/>
      </w:tabs>
      <w:spacing w:before="240"/>
    </w:pPr>
    <w:rPr>
      <w:rFonts w:eastAsia="SimSun" w:cs="Times New Roman"/>
      <w:szCs w:val="20"/>
      <w:lang w:eastAsia="en-US"/>
    </w:rPr>
  </w:style>
  <w:style w:type="paragraph" w:styleId="TOC2">
    <w:name w:val="toc 2"/>
    <w:basedOn w:val="Normal"/>
    <w:next w:val="Normal"/>
    <w:autoRedefine/>
    <w:uiPriority w:val="39"/>
    <w:rsid w:val="00B409BD"/>
    <w:pPr>
      <w:tabs>
        <w:tab w:val="right" w:leader="dot" w:pos="9000"/>
      </w:tabs>
      <w:ind w:left="720"/>
    </w:pPr>
    <w:rPr>
      <w:rFonts w:eastAsia="SimSun" w:cs="Times New Roman"/>
      <w:szCs w:val="20"/>
      <w:lang w:eastAsia="en-US"/>
    </w:rPr>
  </w:style>
  <w:style w:type="character" w:styleId="Hyperlink">
    <w:name w:val="Hyperlink"/>
    <w:basedOn w:val="DefaultParagraphFont"/>
    <w:uiPriority w:val="99"/>
    <w:rsid w:val="00B409BD"/>
    <w:rPr>
      <w:color w:val="0000FF"/>
      <w:u w:val="single"/>
    </w:rPr>
  </w:style>
  <w:style w:type="paragraph" w:styleId="TOCHeading">
    <w:name w:val="TOC Heading"/>
    <w:basedOn w:val="Heading1"/>
    <w:next w:val="Normal"/>
    <w:uiPriority w:val="39"/>
    <w:semiHidden/>
    <w:unhideWhenUsed/>
    <w:qFormat/>
    <w:rsid w:val="00B409BD"/>
    <w:pPr>
      <w:numPr>
        <w:numId w:val="0"/>
      </w:numPr>
      <w:spacing w:after="0" w:line="276" w:lineRule="auto"/>
      <w:contextualSpacing w:val="0"/>
      <w:jc w:val="left"/>
      <w:outlineLvl w:val="9"/>
    </w:pPr>
    <w:rPr>
      <w:rFonts w:ascii="Cambria" w:eastAsia="Times New Roman" w:hAnsi="Cambria"/>
      <w:smallCaps w:val="0"/>
      <w:color w:val="365F91"/>
    </w:rPr>
  </w:style>
  <w:style w:type="paragraph" w:styleId="Footer">
    <w:name w:val="footer"/>
    <w:basedOn w:val="Normal"/>
    <w:link w:val="FooterChar"/>
    <w:uiPriority w:val="99"/>
    <w:unhideWhenUsed/>
    <w:rsid w:val="00B409BD"/>
    <w:pPr>
      <w:tabs>
        <w:tab w:val="center" w:pos="4320"/>
        <w:tab w:val="right" w:pos="8640"/>
      </w:tabs>
    </w:pPr>
  </w:style>
  <w:style w:type="character" w:customStyle="1" w:styleId="FooterChar">
    <w:name w:val="Footer Char"/>
    <w:basedOn w:val="DefaultParagraphFont"/>
    <w:link w:val="Footer"/>
    <w:uiPriority w:val="99"/>
    <w:rsid w:val="00B409BD"/>
  </w:style>
  <w:style w:type="character" w:styleId="PageNumber">
    <w:name w:val="page number"/>
    <w:basedOn w:val="DefaultParagraphFont"/>
    <w:uiPriority w:val="99"/>
    <w:semiHidden/>
    <w:unhideWhenUsed/>
    <w:rsid w:val="00B409BD"/>
  </w:style>
  <w:style w:type="character" w:styleId="FootnoteReference">
    <w:name w:val="footnote reference"/>
    <w:aliases w:val="ftref,BVI fnr,Знак сноски 1,Footnote Reference Number,Footnote Reference_LVL6,Footnote Reference_LVL61,Footnote Reference_LVL62,Footnote Reference_LVL63,Footnote Reference_LVL64,Footnote Reference_LVL65,Footnote Reference1"/>
    <w:basedOn w:val="DefaultParagraphFont"/>
    <w:rsid w:val="00B409BD"/>
    <w:rPr>
      <w:vertAlign w:val="superscript"/>
    </w:rPr>
  </w:style>
  <w:style w:type="paragraph" w:styleId="FootnoteText">
    <w:name w:val="footnote text"/>
    <w:aliases w:val="fn,single space,footnote text,FOOTNOTES,ADB,WB-Fuﬂnotentext,Footnote,Fuﬂnote,WB-Fußnotentext,Fußnote,Char,Footnote Text Char Char Char Char Char Char,ALTS FOOTNOTE,Footnote text,single spacing,ft,Footnote Text Char1,f,DSE note,láblé"/>
    <w:basedOn w:val="Normal"/>
    <w:link w:val="FootnoteTextChar"/>
    <w:rsid w:val="00B409BD"/>
    <w:pPr>
      <w:spacing w:after="240"/>
    </w:pPr>
    <w:rPr>
      <w:rFonts w:eastAsia="SimSun" w:cs="Times New Roman"/>
      <w:sz w:val="20"/>
      <w:szCs w:val="20"/>
      <w:lang w:eastAsia="en-US"/>
    </w:rPr>
  </w:style>
  <w:style w:type="character" w:customStyle="1" w:styleId="FootnoteTextChar">
    <w:name w:val="Footnote Text Char"/>
    <w:aliases w:val="fn Char,single space Char,footnote text Char,FOOTNOTES Char,ADB Char,WB-Fuﬂnotentext Char,Footnote Char,Fuﬂnote Char,WB-Fußnotentext Char,Fußnote Char,Char Char,Footnote Text Char Char Char Char Char Char Char,ALTS FOOTNOTE Char"/>
    <w:basedOn w:val="DefaultParagraphFont"/>
    <w:link w:val="FootnoteText"/>
    <w:uiPriority w:val="99"/>
    <w:rsid w:val="00B409BD"/>
    <w:rPr>
      <w:rFonts w:ascii="Times New Roman" w:eastAsia="SimSun" w:hAnsi="Times New Roman" w:cs="Times New Roman"/>
      <w:sz w:val="20"/>
      <w:szCs w:val="20"/>
      <w:lang w:eastAsia="en-US"/>
    </w:rPr>
  </w:style>
  <w:style w:type="character" w:customStyle="1" w:styleId="Heading2Char">
    <w:name w:val="Heading 2 Char"/>
    <w:basedOn w:val="DefaultParagraphFont"/>
    <w:link w:val="Heading2"/>
    <w:uiPriority w:val="9"/>
    <w:rsid w:val="00DA42F2"/>
    <w:rPr>
      <w:rFonts w:asciiTheme="majorHAnsi" w:eastAsiaTheme="majorEastAsia" w:hAnsiTheme="majorHAnsi" w:cstheme="majorBidi"/>
      <w:b/>
      <w:bCs/>
      <w:color w:val="4F81BD" w:themeColor="accent1"/>
      <w:sz w:val="26"/>
      <w:szCs w:val="26"/>
    </w:rPr>
  </w:style>
  <w:style w:type="paragraph" w:styleId="TableofFigures">
    <w:name w:val="table of figures"/>
    <w:basedOn w:val="Normal"/>
    <w:next w:val="Normal"/>
    <w:uiPriority w:val="99"/>
    <w:unhideWhenUsed/>
    <w:rsid w:val="00DA42F2"/>
    <w:pPr>
      <w:spacing w:line="259" w:lineRule="auto"/>
    </w:pPr>
    <w:rPr>
      <w:rFonts w:asciiTheme="minorHAnsi" w:eastAsiaTheme="minorHAnsi" w:hAnsiTheme="minorHAnsi" w:cstheme="minorBidi"/>
      <w:lang w:val="en-AU" w:eastAsia="en-US"/>
    </w:rPr>
  </w:style>
  <w:style w:type="paragraph" w:customStyle="1" w:styleId="BulletsADB">
    <w:name w:val="Bullets ADB"/>
    <w:basedOn w:val="ListParagraph"/>
    <w:autoRedefine/>
    <w:uiPriority w:val="99"/>
    <w:rsid w:val="001B0F0A"/>
    <w:pPr>
      <w:widowControl w:val="0"/>
      <w:numPr>
        <w:numId w:val="3"/>
      </w:numPr>
      <w:spacing w:after="120"/>
      <w:contextualSpacing w:val="0"/>
      <w:jc w:val="both"/>
    </w:pPr>
    <w:rPr>
      <w:rFonts w:ascii="Arial" w:eastAsia="Times New Roman" w:hAnsi="Arial" w:cs="Arial"/>
      <w:bCs/>
      <w:lang w:eastAsia="en-US"/>
    </w:rPr>
  </w:style>
  <w:style w:type="character" w:styleId="FollowedHyperlink">
    <w:name w:val="FollowedHyperlink"/>
    <w:basedOn w:val="DefaultParagraphFont"/>
    <w:uiPriority w:val="99"/>
    <w:semiHidden/>
    <w:unhideWhenUsed/>
    <w:rsid w:val="00A0060E"/>
    <w:rPr>
      <w:color w:val="800080" w:themeColor="followedHyperlink"/>
      <w:u w:val="single"/>
    </w:rPr>
  </w:style>
  <w:style w:type="character" w:customStyle="1" w:styleId="ListParagraphChar">
    <w:name w:val="List Paragraph Char"/>
    <w:aliases w:val="List Paragraph (numbered (a)) Char,Use Case List Paragraph Char"/>
    <w:basedOn w:val="DefaultParagraphFont"/>
    <w:link w:val="ListParagraph"/>
    <w:uiPriority w:val="99"/>
    <w:rsid w:val="00CB0CC1"/>
  </w:style>
  <w:style w:type="table" w:styleId="LightShading">
    <w:name w:val="Light Shading"/>
    <w:basedOn w:val="TableNormal"/>
    <w:uiPriority w:val="60"/>
    <w:rsid w:val="0088328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8328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rsid w:val="00E01A3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01A3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ulletstab">
    <w:name w:val="Bullets tab"/>
    <w:basedOn w:val="BulletsADB"/>
    <w:uiPriority w:val="99"/>
    <w:rsid w:val="00A96AFA"/>
    <w:pPr>
      <w:numPr>
        <w:ilvl w:val="1"/>
        <w:numId w:val="6"/>
      </w:numPr>
    </w:pPr>
  </w:style>
  <w:style w:type="paragraph" w:styleId="BalloonText">
    <w:name w:val="Balloon Text"/>
    <w:basedOn w:val="Normal"/>
    <w:link w:val="BalloonTextChar"/>
    <w:uiPriority w:val="99"/>
    <w:semiHidden/>
    <w:unhideWhenUsed/>
    <w:rsid w:val="00925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2B7"/>
    <w:rPr>
      <w:rFonts w:ascii="Lucida Grande" w:hAnsi="Lucida Grande" w:cs="Lucida Grande"/>
      <w:sz w:val="18"/>
      <w:szCs w:val="18"/>
    </w:rPr>
  </w:style>
  <w:style w:type="character" w:customStyle="1" w:styleId="Heading3Char">
    <w:name w:val="Heading 3 Char"/>
    <w:basedOn w:val="DefaultParagraphFont"/>
    <w:link w:val="Heading3"/>
    <w:uiPriority w:val="99"/>
    <w:rsid w:val="004D28D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B7C20"/>
    <w:pPr>
      <w:tabs>
        <w:tab w:val="center" w:pos="4320"/>
        <w:tab w:val="right" w:pos="8640"/>
      </w:tabs>
    </w:pPr>
  </w:style>
  <w:style w:type="character" w:customStyle="1" w:styleId="HeaderChar">
    <w:name w:val="Header Char"/>
    <w:basedOn w:val="DefaultParagraphFont"/>
    <w:link w:val="Header"/>
    <w:uiPriority w:val="99"/>
    <w:rsid w:val="001B7C20"/>
  </w:style>
  <w:style w:type="paragraph" w:customStyle="1" w:styleId="ExperienceNumberList">
    <w:name w:val="Experience Number List"/>
    <w:basedOn w:val="Normal"/>
    <w:uiPriority w:val="99"/>
    <w:rsid w:val="008317C8"/>
    <w:pPr>
      <w:widowControl w:val="0"/>
      <w:numPr>
        <w:numId w:val="7"/>
      </w:numPr>
      <w:tabs>
        <w:tab w:val="clear" w:pos="360"/>
      </w:tabs>
      <w:spacing w:before="60" w:after="60"/>
      <w:ind w:left="357" w:hanging="357"/>
      <w:jc w:val="both"/>
    </w:pPr>
    <w:rPr>
      <w:rFonts w:ascii="Garamond" w:eastAsia="Times New Roman" w:hAnsi="Garamond" w:cs="Garamond"/>
      <w:lang w:eastAsia="en-US"/>
    </w:rPr>
  </w:style>
  <w:style w:type="paragraph" w:customStyle="1" w:styleId="Bullet">
    <w:name w:val="Bullet"/>
    <w:basedOn w:val="Normal"/>
    <w:qFormat/>
    <w:rsid w:val="005E7133"/>
    <w:pPr>
      <w:numPr>
        <w:numId w:val="8"/>
      </w:numPr>
      <w:spacing w:before="120" w:after="120" w:line="280" w:lineRule="atLeast"/>
      <w:jc w:val="both"/>
    </w:pPr>
    <w:rPr>
      <w:rFonts w:ascii="Garamond" w:eastAsia="Times New Roman" w:hAnsi="Garamond" w:cs="Times New Roman"/>
      <w:lang w:val="en-GB" w:eastAsia="en-US"/>
    </w:rPr>
  </w:style>
  <w:style w:type="paragraph" w:customStyle="1" w:styleId="ParagraphNumbering">
    <w:name w:val="Paragraph Numbering"/>
    <w:basedOn w:val="Normal"/>
    <w:link w:val="ParagraphNumberingCarattere"/>
    <w:qFormat/>
    <w:rsid w:val="00F527D5"/>
    <w:pPr>
      <w:numPr>
        <w:numId w:val="11"/>
      </w:numPr>
      <w:autoSpaceDE w:val="0"/>
      <w:autoSpaceDN w:val="0"/>
      <w:adjustRightInd w:val="0"/>
      <w:spacing w:before="240" w:after="240" w:line="276" w:lineRule="auto"/>
      <w:jc w:val="both"/>
    </w:pPr>
    <w:rPr>
      <w:rFonts w:eastAsia="SimSun" w:cs="Times New Roman"/>
      <w:lang w:eastAsia="en-US"/>
    </w:rPr>
  </w:style>
  <w:style w:type="character" w:customStyle="1" w:styleId="ParagraphNumberingCarattere">
    <w:name w:val="Paragraph Numbering Carattere"/>
    <w:link w:val="ParagraphNumbering"/>
    <w:locked/>
    <w:rsid w:val="00F527D5"/>
    <w:rPr>
      <w:rFonts w:eastAsia="SimSun" w:cs="Times New Roman"/>
      <w:lang w:eastAsia="en-US"/>
    </w:rPr>
  </w:style>
  <w:style w:type="paragraph" w:customStyle="1" w:styleId="Default">
    <w:name w:val="Default"/>
    <w:rsid w:val="00271D1A"/>
    <w:pPr>
      <w:widowControl w:val="0"/>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A706A8"/>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AC3E71"/>
    <w:rPr>
      <w:sz w:val="16"/>
      <w:szCs w:val="16"/>
    </w:rPr>
  </w:style>
  <w:style w:type="paragraph" w:styleId="CommentText">
    <w:name w:val="annotation text"/>
    <w:basedOn w:val="Normal"/>
    <w:link w:val="CommentTextChar"/>
    <w:uiPriority w:val="99"/>
    <w:semiHidden/>
    <w:unhideWhenUsed/>
    <w:rsid w:val="00AC3E71"/>
    <w:rPr>
      <w:sz w:val="20"/>
      <w:szCs w:val="20"/>
    </w:rPr>
  </w:style>
  <w:style w:type="character" w:customStyle="1" w:styleId="CommentTextChar">
    <w:name w:val="Comment Text Char"/>
    <w:basedOn w:val="DefaultParagraphFont"/>
    <w:link w:val="CommentText"/>
    <w:uiPriority w:val="99"/>
    <w:semiHidden/>
    <w:rsid w:val="00AC3E71"/>
    <w:rPr>
      <w:sz w:val="20"/>
      <w:szCs w:val="20"/>
    </w:rPr>
  </w:style>
  <w:style w:type="paragraph" w:styleId="CommentSubject">
    <w:name w:val="annotation subject"/>
    <w:basedOn w:val="CommentText"/>
    <w:next w:val="CommentText"/>
    <w:link w:val="CommentSubjectChar"/>
    <w:uiPriority w:val="99"/>
    <w:semiHidden/>
    <w:unhideWhenUsed/>
    <w:rsid w:val="00AC3E71"/>
    <w:rPr>
      <w:b/>
      <w:bCs/>
    </w:rPr>
  </w:style>
  <w:style w:type="character" w:customStyle="1" w:styleId="CommentSubjectChar">
    <w:name w:val="Comment Subject Char"/>
    <w:basedOn w:val="CommentTextChar"/>
    <w:link w:val="CommentSubject"/>
    <w:uiPriority w:val="99"/>
    <w:semiHidden/>
    <w:rsid w:val="00AC3E71"/>
    <w:rPr>
      <w:b/>
      <w:bCs/>
      <w:sz w:val="20"/>
      <w:szCs w:val="20"/>
    </w:rPr>
  </w:style>
  <w:style w:type="paragraph" w:customStyle="1" w:styleId="MediumGrid21">
    <w:name w:val="Medium Grid 21"/>
    <w:link w:val="MediumGrid2Char"/>
    <w:uiPriority w:val="99"/>
    <w:rsid w:val="00BD51E3"/>
    <w:rPr>
      <w:rFonts w:ascii="Calibri" w:eastAsia="Times New Roman" w:hAnsi="Calibri" w:cs="Times New Roman"/>
      <w:sz w:val="22"/>
      <w:szCs w:val="22"/>
      <w:lang w:eastAsia="en-US"/>
    </w:rPr>
  </w:style>
  <w:style w:type="character" w:customStyle="1" w:styleId="MediumGrid2Char">
    <w:name w:val="Medium Grid 2 Char"/>
    <w:link w:val="MediumGrid21"/>
    <w:uiPriority w:val="99"/>
    <w:locked/>
    <w:rsid w:val="00BD51E3"/>
    <w:rPr>
      <w:rFonts w:ascii="Calibri" w:eastAsia="Times New Roman"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Helvetica"/>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32269"/>
    <w:pPr>
      <w:keepNext/>
      <w:keepLines/>
      <w:numPr>
        <w:numId w:val="1"/>
      </w:numPr>
      <w:spacing w:before="480" w:after="480"/>
      <w:contextualSpacing/>
      <w:jc w:val="center"/>
      <w:outlineLvl w:val="0"/>
    </w:pPr>
    <w:rPr>
      <w:rFonts w:eastAsia="Calibri" w:cs="Times New Roman"/>
      <w:b/>
      <w:bCs/>
      <w:smallCaps/>
      <w:sz w:val="28"/>
      <w:szCs w:val="28"/>
      <w:lang w:eastAsia="en-US"/>
    </w:rPr>
  </w:style>
  <w:style w:type="paragraph" w:styleId="Heading2">
    <w:name w:val="heading 2"/>
    <w:basedOn w:val="Normal"/>
    <w:next w:val="Normal"/>
    <w:link w:val="Heading2Char"/>
    <w:uiPriority w:val="9"/>
    <w:unhideWhenUsed/>
    <w:qFormat/>
    <w:rsid w:val="00DA42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D28D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226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532269"/>
    <w:rPr>
      <w:rFonts w:eastAsia="Calibri" w:cs="Times New Roman"/>
      <w:b/>
      <w:bCs/>
      <w:smallCaps/>
      <w:sz w:val="28"/>
      <w:szCs w:val="28"/>
      <w:lang w:eastAsia="en-US"/>
    </w:rPr>
  </w:style>
  <w:style w:type="paragraph" w:styleId="ListParagraph">
    <w:name w:val="List Paragraph"/>
    <w:aliases w:val="List Paragraph (numbered (a)),Use Case List Paragraph"/>
    <w:basedOn w:val="Normal"/>
    <w:link w:val="ListParagraphChar"/>
    <w:uiPriority w:val="99"/>
    <w:qFormat/>
    <w:rsid w:val="001D0769"/>
    <w:pPr>
      <w:ind w:left="720"/>
      <w:contextualSpacing/>
    </w:pPr>
  </w:style>
  <w:style w:type="paragraph" w:styleId="TOC1">
    <w:name w:val="toc 1"/>
    <w:basedOn w:val="Normal"/>
    <w:next w:val="Normal"/>
    <w:autoRedefine/>
    <w:uiPriority w:val="39"/>
    <w:rsid w:val="00B409BD"/>
    <w:pPr>
      <w:tabs>
        <w:tab w:val="right" w:leader="dot" w:pos="9000"/>
      </w:tabs>
      <w:spacing w:before="240"/>
    </w:pPr>
    <w:rPr>
      <w:rFonts w:eastAsia="SimSun" w:cs="Times New Roman"/>
      <w:szCs w:val="20"/>
      <w:lang w:eastAsia="en-US"/>
    </w:rPr>
  </w:style>
  <w:style w:type="paragraph" w:styleId="TOC2">
    <w:name w:val="toc 2"/>
    <w:basedOn w:val="Normal"/>
    <w:next w:val="Normal"/>
    <w:autoRedefine/>
    <w:uiPriority w:val="39"/>
    <w:rsid w:val="00B409BD"/>
    <w:pPr>
      <w:tabs>
        <w:tab w:val="right" w:leader="dot" w:pos="9000"/>
      </w:tabs>
      <w:ind w:left="720"/>
    </w:pPr>
    <w:rPr>
      <w:rFonts w:eastAsia="SimSun" w:cs="Times New Roman"/>
      <w:szCs w:val="20"/>
      <w:lang w:eastAsia="en-US"/>
    </w:rPr>
  </w:style>
  <w:style w:type="character" w:styleId="Hyperlink">
    <w:name w:val="Hyperlink"/>
    <w:basedOn w:val="DefaultParagraphFont"/>
    <w:uiPriority w:val="99"/>
    <w:rsid w:val="00B409BD"/>
    <w:rPr>
      <w:color w:val="0000FF"/>
      <w:u w:val="single"/>
    </w:rPr>
  </w:style>
  <w:style w:type="paragraph" w:styleId="TOCHeading">
    <w:name w:val="TOC Heading"/>
    <w:basedOn w:val="Heading1"/>
    <w:next w:val="Normal"/>
    <w:uiPriority w:val="39"/>
    <w:semiHidden/>
    <w:unhideWhenUsed/>
    <w:qFormat/>
    <w:rsid w:val="00B409BD"/>
    <w:pPr>
      <w:numPr>
        <w:numId w:val="0"/>
      </w:numPr>
      <w:spacing w:after="0" w:line="276" w:lineRule="auto"/>
      <w:contextualSpacing w:val="0"/>
      <w:jc w:val="left"/>
      <w:outlineLvl w:val="9"/>
    </w:pPr>
    <w:rPr>
      <w:rFonts w:ascii="Cambria" w:eastAsia="Times New Roman" w:hAnsi="Cambria"/>
      <w:smallCaps w:val="0"/>
      <w:color w:val="365F91"/>
    </w:rPr>
  </w:style>
  <w:style w:type="paragraph" w:styleId="Footer">
    <w:name w:val="footer"/>
    <w:basedOn w:val="Normal"/>
    <w:link w:val="FooterChar"/>
    <w:uiPriority w:val="99"/>
    <w:unhideWhenUsed/>
    <w:rsid w:val="00B409BD"/>
    <w:pPr>
      <w:tabs>
        <w:tab w:val="center" w:pos="4320"/>
        <w:tab w:val="right" w:pos="8640"/>
      </w:tabs>
    </w:pPr>
  </w:style>
  <w:style w:type="character" w:customStyle="1" w:styleId="FooterChar">
    <w:name w:val="Footer Char"/>
    <w:basedOn w:val="DefaultParagraphFont"/>
    <w:link w:val="Footer"/>
    <w:uiPriority w:val="99"/>
    <w:rsid w:val="00B409BD"/>
  </w:style>
  <w:style w:type="character" w:styleId="PageNumber">
    <w:name w:val="page number"/>
    <w:basedOn w:val="DefaultParagraphFont"/>
    <w:uiPriority w:val="99"/>
    <w:semiHidden/>
    <w:unhideWhenUsed/>
    <w:rsid w:val="00B409BD"/>
  </w:style>
  <w:style w:type="character" w:styleId="FootnoteReference">
    <w:name w:val="footnote reference"/>
    <w:aliases w:val="ftref,BVI fnr,Знак сноски 1,Footnote Reference Number,Footnote Reference_LVL6,Footnote Reference_LVL61,Footnote Reference_LVL62,Footnote Reference_LVL63,Footnote Reference_LVL64,Footnote Reference_LVL65,Footnote Reference1"/>
    <w:basedOn w:val="DefaultParagraphFont"/>
    <w:rsid w:val="00B409BD"/>
    <w:rPr>
      <w:vertAlign w:val="superscript"/>
    </w:rPr>
  </w:style>
  <w:style w:type="paragraph" w:styleId="FootnoteText">
    <w:name w:val="footnote text"/>
    <w:aliases w:val="fn,single space,footnote text,FOOTNOTES,ADB,WB-Fuﬂnotentext,Footnote,Fuﬂnote,WB-Fußnotentext,Fußnote,Char,Footnote Text Char Char Char Char Char Char,ALTS FOOTNOTE,Footnote text,single spacing,ft,Footnote Text Char1,f,DSE note,láblé"/>
    <w:basedOn w:val="Normal"/>
    <w:link w:val="FootnoteTextChar"/>
    <w:rsid w:val="00B409BD"/>
    <w:pPr>
      <w:spacing w:after="240"/>
    </w:pPr>
    <w:rPr>
      <w:rFonts w:eastAsia="SimSun" w:cs="Times New Roman"/>
      <w:sz w:val="20"/>
      <w:szCs w:val="20"/>
      <w:lang w:eastAsia="en-US"/>
    </w:rPr>
  </w:style>
  <w:style w:type="character" w:customStyle="1" w:styleId="FootnoteTextChar">
    <w:name w:val="Footnote Text Char"/>
    <w:aliases w:val="fn Char,single space Char,footnote text Char,FOOTNOTES Char,ADB Char,WB-Fuﬂnotentext Char,Footnote Char,Fuﬂnote Char,WB-Fußnotentext Char,Fußnote Char,Char Char,Footnote Text Char Char Char Char Char Char Char,ALTS FOOTNOTE Char"/>
    <w:basedOn w:val="DefaultParagraphFont"/>
    <w:link w:val="FootnoteText"/>
    <w:uiPriority w:val="99"/>
    <w:rsid w:val="00B409BD"/>
    <w:rPr>
      <w:rFonts w:ascii="Times New Roman" w:eastAsia="SimSun" w:hAnsi="Times New Roman" w:cs="Times New Roman"/>
      <w:sz w:val="20"/>
      <w:szCs w:val="20"/>
      <w:lang w:eastAsia="en-US"/>
    </w:rPr>
  </w:style>
  <w:style w:type="character" w:customStyle="1" w:styleId="Heading2Char">
    <w:name w:val="Heading 2 Char"/>
    <w:basedOn w:val="DefaultParagraphFont"/>
    <w:link w:val="Heading2"/>
    <w:uiPriority w:val="9"/>
    <w:rsid w:val="00DA42F2"/>
    <w:rPr>
      <w:rFonts w:asciiTheme="majorHAnsi" w:eastAsiaTheme="majorEastAsia" w:hAnsiTheme="majorHAnsi" w:cstheme="majorBidi"/>
      <w:b/>
      <w:bCs/>
      <w:color w:val="4F81BD" w:themeColor="accent1"/>
      <w:sz w:val="26"/>
      <w:szCs w:val="26"/>
    </w:rPr>
  </w:style>
  <w:style w:type="paragraph" w:styleId="TableofFigures">
    <w:name w:val="table of figures"/>
    <w:basedOn w:val="Normal"/>
    <w:next w:val="Normal"/>
    <w:uiPriority w:val="99"/>
    <w:unhideWhenUsed/>
    <w:rsid w:val="00DA42F2"/>
    <w:pPr>
      <w:spacing w:line="259" w:lineRule="auto"/>
    </w:pPr>
    <w:rPr>
      <w:rFonts w:asciiTheme="minorHAnsi" w:eastAsiaTheme="minorHAnsi" w:hAnsiTheme="minorHAnsi" w:cstheme="minorBidi"/>
      <w:lang w:val="en-AU" w:eastAsia="en-US"/>
    </w:rPr>
  </w:style>
  <w:style w:type="paragraph" w:customStyle="1" w:styleId="BulletsADB">
    <w:name w:val="Bullets ADB"/>
    <w:basedOn w:val="ListParagraph"/>
    <w:autoRedefine/>
    <w:uiPriority w:val="99"/>
    <w:rsid w:val="001B0F0A"/>
    <w:pPr>
      <w:widowControl w:val="0"/>
      <w:numPr>
        <w:numId w:val="3"/>
      </w:numPr>
      <w:spacing w:after="120"/>
      <w:contextualSpacing w:val="0"/>
      <w:jc w:val="both"/>
    </w:pPr>
    <w:rPr>
      <w:rFonts w:ascii="Arial" w:eastAsia="Times New Roman" w:hAnsi="Arial" w:cs="Arial"/>
      <w:bCs/>
      <w:lang w:eastAsia="en-US"/>
    </w:rPr>
  </w:style>
  <w:style w:type="character" w:styleId="FollowedHyperlink">
    <w:name w:val="FollowedHyperlink"/>
    <w:basedOn w:val="DefaultParagraphFont"/>
    <w:uiPriority w:val="99"/>
    <w:semiHidden/>
    <w:unhideWhenUsed/>
    <w:rsid w:val="00A0060E"/>
    <w:rPr>
      <w:color w:val="800080" w:themeColor="followedHyperlink"/>
      <w:u w:val="single"/>
    </w:rPr>
  </w:style>
  <w:style w:type="character" w:customStyle="1" w:styleId="ListParagraphChar">
    <w:name w:val="List Paragraph Char"/>
    <w:aliases w:val="List Paragraph (numbered (a)) Char,Use Case List Paragraph Char"/>
    <w:basedOn w:val="DefaultParagraphFont"/>
    <w:link w:val="ListParagraph"/>
    <w:uiPriority w:val="99"/>
    <w:rsid w:val="00CB0CC1"/>
  </w:style>
  <w:style w:type="table" w:styleId="LightShading">
    <w:name w:val="Light Shading"/>
    <w:basedOn w:val="TableNormal"/>
    <w:uiPriority w:val="60"/>
    <w:rsid w:val="0088328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8328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
    <w:name w:val="Medium Shading 1"/>
    <w:basedOn w:val="TableNormal"/>
    <w:uiPriority w:val="63"/>
    <w:rsid w:val="00E01A3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E01A3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ulletstab">
    <w:name w:val="Bullets tab"/>
    <w:basedOn w:val="BulletsADB"/>
    <w:uiPriority w:val="99"/>
    <w:rsid w:val="00A96AFA"/>
    <w:pPr>
      <w:numPr>
        <w:ilvl w:val="1"/>
        <w:numId w:val="6"/>
      </w:numPr>
    </w:pPr>
  </w:style>
  <w:style w:type="paragraph" w:styleId="BalloonText">
    <w:name w:val="Balloon Text"/>
    <w:basedOn w:val="Normal"/>
    <w:link w:val="BalloonTextChar"/>
    <w:uiPriority w:val="99"/>
    <w:semiHidden/>
    <w:unhideWhenUsed/>
    <w:rsid w:val="009252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2B7"/>
    <w:rPr>
      <w:rFonts w:ascii="Lucida Grande" w:hAnsi="Lucida Grande" w:cs="Lucida Grande"/>
      <w:sz w:val="18"/>
      <w:szCs w:val="18"/>
    </w:rPr>
  </w:style>
  <w:style w:type="character" w:customStyle="1" w:styleId="Heading3Char">
    <w:name w:val="Heading 3 Char"/>
    <w:basedOn w:val="DefaultParagraphFont"/>
    <w:link w:val="Heading3"/>
    <w:uiPriority w:val="99"/>
    <w:rsid w:val="004D28D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B7C20"/>
    <w:pPr>
      <w:tabs>
        <w:tab w:val="center" w:pos="4320"/>
        <w:tab w:val="right" w:pos="8640"/>
      </w:tabs>
    </w:pPr>
  </w:style>
  <w:style w:type="character" w:customStyle="1" w:styleId="HeaderChar">
    <w:name w:val="Header Char"/>
    <w:basedOn w:val="DefaultParagraphFont"/>
    <w:link w:val="Header"/>
    <w:uiPriority w:val="99"/>
    <w:rsid w:val="001B7C20"/>
  </w:style>
  <w:style w:type="paragraph" w:customStyle="1" w:styleId="ExperienceNumberList">
    <w:name w:val="Experience Number List"/>
    <w:basedOn w:val="Normal"/>
    <w:uiPriority w:val="99"/>
    <w:rsid w:val="008317C8"/>
    <w:pPr>
      <w:widowControl w:val="0"/>
      <w:numPr>
        <w:numId w:val="7"/>
      </w:numPr>
      <w:tabs>
        <w:tab w:val="clear" w:pos="360"/>
      </w:tabs>
      <w:spacing w:before="60" w:after="60"/>
      <w:ind w:left="357" w:hanging="357"/>
      <w:jc w:val="both"/>
    </w:pPr>
    <w:rPr>
      <w:rFonts w:ascii="Garamond" w:eastAsia="Times New Roman" w:hAnsi="Garamond" w:cs="Garamond"/>
      <w:lang w:eastAsia="en-US"/>
    </w:rPr>
  </w:style>
  <w:style w:type="paragraph" w:customStyle="1" w:styleId="Bullet">
    <w:name w:val="Bullet"/>
    <w:basedOn w:val="Normal"/>
    <w:qFormat/>
    <w:rsid w:val="005E7133"/>
    <w:pPr>
      <w:numPr>
        <w:numId w:val="8"/>
      </w:numPr>
      <w:spacing w:before="120" w:after="120" w:line="280" w:lineRule="atLeast"/>
      <w:jc w:val="both"/>
    </w:pPr>
    <w:rPr>
      <w:rFonts w:ascii="Garamond" w:eastAsia="Times New Roman" w:hAnsi="Garamond" w:cs="Times New Roman"/>
      <w:lang w:val="en-GB" w:eastAsia="en-US"/>
    </w:rPr>
  </w:style>
  <w:style w:type="paragraph" w:customStyle="1" w:styleId="ParagraphNumbering">
    <w:name w:val="Paragraph Numbering"/>
    <w:basedOn w:val="Normal"/>
    <w:link w:val="ParagraphNumberingCarattere"/>
    <w:qFormat/>
    <w:rsid w:val="00F527D5"/>
    <w:pPr>
      <w:numPr>
        <w:numId w:val="11"/>
      </w:numPr>
      <w:autoSpaceDE w:val="0"/>
      <w:autoSpaceDN w:val="0"/>
      <w:adjustRightInd w:val="0"/>
      <w:spacing w:before="240" w:after="240" w:line="276" w:lineRule="auto"/>
      <w:jc w:val="both"/>
    </w:pPr>
    <w:rPr>
      <w:rFonts w:eastAsia="SimSun" w:cs="Times New Roman"/>
      <w:lang w:eastAsia="en-US"/>
    </w:rPr>
  </w:style>
  <w:style w:type="character" w:customStyle="1" w:styleId="ParagraphNumberingCarattere">
    <w:name w:val="Paragraph Numbering Carattere"/>
    <w:link w:val="ParagraphNumbering"/>
    <w:locked/>
    <w:rsid w:val="00F527D5"/>
    <w:rPr>
      <w:rFonts w:eastAsia="SimSun" w:cs="Times New Roman"/>
      <w:lang w:eastAsia="en-US"/>
    </w:rPr>
  </w:style>
  <w:style w:type="paragraph" w:customStyle="1" w:styleId="Default">
    <w:name w:val="Default"/>
    <w:rsid w:val="00271D1A"/>
    <w:pPr>
      <w:widowControl w:val="0"/>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A706A8"/>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AC3E71"/>
    <w:rPr>
      <w:sz w:val="16"/>
      <w:szCs w:val="16"/>
    </w:rPr>
  </w:style>
  <w:style w:type="paragraph" w:styleId="CommentText">
    <w:name w:val="annotation text"/>
    <w:basedOn w:val="Normal"/>
    <w:link w:val="CommentTextChar"/>
    <w:uiPriority w:val="99"/>
    <w:semiHidden/>
    <w:unhideWhenUsed/>
    <w:rsid w:val="00AC3E71"/>
    <w:rPr>
      <w:sz w:val="20"/>
      <w:szCs w:val="20"/>
    </w:rPr>
  </w:style>
  <w:style w:type="character" w:customStyle="1" w:styleId="CommentTextChar">
    <w:name w:val="Comment Text Char"/>
    <w:basedOn w:val="DefaultParagraphFont"/>
    <w:link w:val="CommentText"/>
    <w:uiPriority w:val="99"/>
    <w:semiHidden/>
    <w:rsid w:val="00AC3E71"/>
    <w:rPr>
      <w:sz w:val="20"/>
      <w:szCs w:val="20"/>
    </w:rPr>
  </w:style>
  <w:style w:type="paragraph" w:styleId="CommentSubject">
    <w:name w:val="annotation subject"/>
    <w:basedOn w:val="CommentText"/>
    <w:next w:val="CommentText"/>
    <w:link w:val="CommentSubjectChar"/>
    <w:uiPriority w:val="99"/>
    <w:semiHidden/>
    <w:unhideWhenUsed/>
    <w:rsid w:val="00AC3E71"/>
    <w:rPr>
      <w:b/>
      <w:bCs/>
    </w:rPr>
  </w:style>
  <w:style w:type="character" w:customStyle="1" w:styleId="CommentSubjectChar">
    <w:name w:val="Comment Subject Char"/>
    <w:basedOn w:val="CommentTextChar"/>
    <w:link w:val="CommentSubject"/>
    <w:uiPriority w:val="99"/>
    <w:semiHidden/>
    <w:rsid w:val="00AC3E71"/>
    <w:rPr>
      <w:b/>
      <w:bCs/>
      <w:sz w:val="20"/>
      <w:szCs w:val="20"/>
    </w:rPr>
  </w:style>
  <w:style w:type="paragraph" w:customStyle="1" w:styleId="MediumGrid21">
    <w:name w:val="Medium Grid 21"/>
    <w:link w:val="MediumGrid2Char"/>
    <w:uiPriority w:val="99"/>
    <w:rsid w:val="00BD51E3"/>
    <w:rPr>
      <w:rFonts w:ascii="Calibri" w:eastAsia="Times New Roman" w:hAnsi="Calibri" w:cs="Times New Roman"/>
      <w:sz w:val="22"/>
      <w:szCs w:val="22"/>
      <w:lang w:eastAsia="en-US"/>
    </w:rPr>
  </w:style>
  <w:style w:type="character" w:customStyle="1" w:styleId="MediumGrid2Char">
    <w:name w:val="Medium Grid 2 Char"/>
    <w:link w:val="MediumGrid21"/>
    <w:uiPriority w:val="99"/>
    <w:locked/>
    <w:rsid w:val="00BD51E3"/>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61065">
      <w:bodyDiv w:val="1"/>
      <w:marLeft w:val="0"/>
      <w:marRight w:val="0"/>
      <w:marTop w:val="0"/>
      <w:marBottom w:val="0"/>
      <w:divBdr>
        <w:top w:val="none" w:sz="0" w:space="0" w:color="auto"/>
        <w:left w:val="none" w:sz="0" w:space="0" w:color="auto"/>
        <w:bottom w:val="none" w:sz="0" w:space="0" w:color="auto"/>
        <w:right w:val="none" w:sz="0" w:space="0" w:color="auto"/>
      </w:divBdr>
    </w:div>
    <w:div w:id="162429293">
      <w:bodyDiv w:val="1"/>
      <w:marLeft w:val="0"/>
      <w:marRight w:val="0"/>
      <w:marTop w:val="0"/>
      <w:marBottom w:val="0"/>
      <w:divBdr>
        <w:top w:val="none" w:sz="0" w:space="0" w:color="auto"/>
        <w:left w:val="none" w:sz="0" w:space="0" w:color="auto"/>
        <w:bottom w:val="none" w:sz="0" w:space="0" w:color="auto"/>
        <w:right w:val="none" w:sz="0" w:space="0" w:color="auto"/>
      </w:divBdr>
    </w:div>
    <w:div w:id="644355764">
      <w:bodyDiv w:val="1"/>
      <w:marLeft w:val="0"/>
      <w:marRight w:val="0"/>
      <w:marTop w:val="0"/>
      <w:marBottom w:val="0"/>
      <w:divBdr>
        <w:top w:val="none" w:sz="0" w:space="0" w:color="auto"/>
        <w:left w:val="none" w:sz="0" w:space="0" w:color="auto"/>
        <w:bottom w:val="none" w:sz="0" w:space="0" w:color="auto"/>
        <w:right w:val="none" w:sz="0" w:space="0" w:color="auto"/>
      </w:divBdr>
    </w:div>
    <w:div w:id="709837661">
      <w:bodyDiv w:val="1"/>
      <w:marLeft w:val="0"/>
      <w:marRight w:val="0"/>
      <w:marTop w:val="0"/>
      <w:marBottom w:val="0"/>
      <w:divBdr>
        <w:top w:val="none" w:sz="0" w:space="0" w:color="auto"/>
        <w:left w:val="none" w:sz="0" w:space="0" w:color="auto"/>
        <w:bottom w:val="none" w:sz="0" w:space="0" w:color="auto"/>
        <w:right w:val="none" w:sz="0" w:space="0" w:color="auto"/>
      </w:divBdr>
    </w:div>
    <w:div w:id="711032401">
      <w:bodyDiv w:val="1"/>
      <w:marLeft w:val="0"/>
      <w:marRight w:val="0"/>
      <w:marTop w:val="0"/>
      <w:marBottom w:val="0"/>
      <w:divBdr>
        <w:top w:val="none" w:sz="0" w:space="0" w:color="auto"/>
        <w:left w:val="none" w:sz="0" w:space="0" w:color="auto"/>
        <w:bottom w:val="none" w:sz="0" w:space="0" w:color="auto"/>
        <w:right w:val="none" w:sz="0" w:space="0" w:color="auto"/>
      </w:divBdr>
    </w:div>
    <w:div w:id="835150345">
      <w:bodyDiv w:val="1"/>
      <w:marLeft w:val="0"/>
      <w:marRight w:val="0"/>
      <w:marTop w:val="0"/>
      <w:marBottom w:val="0"/>
      <w:divBdr>
        <w:top w:val="none" w:sz="0" w:space="0" w:color="auto"/>
        <w:left w:val="none" w:sz="0" w:space="0" w:color="auto"/>
        <w:bottom w:val="none" w:sz="0" w:space="0" w:color="auto"/>
        <w:right w:val="none" w:sz="0" w:space="0" w:color="auto"/>
      </w:divBdr>
    </w:div>
    <w:div w:id="957643592">
      <w:bodyDiv w:val="1"/>
      <w:marLeft w:val="0"/>
      <w:marRight w:val="0"/>
      <w:marTop w:val="0"/>
      <w:marBottom w:val="0"/>
      <w:divBdr>
        <w:top w:val="none" w:sz="0" w:space="0" w:color="auto"/>
        <w:left w:val="none" w:sz="0" w:space="0" w:color="auto"/>
        <w:bottom w:val="none" w:sz="0" w:space="0" w:color="auto"/>
        <w:right w:val="none" w:sz="0" w:space="0" w:color="auto"/>
      </w:divBdr>
    </w:div>
    <w:div w:id="1247377807">
      <w:bodyDiv w:val="1"/>
      <w:marLeft w:val="0"/>
      <w:marRight w:val="0"/>
      <w:marTop w:val="0"/>
      <w:marBottom w:val="0"/>
      <w:divBdr>
        <w:top w:val="none" w:sz="0" w:space="0" w:color="auto"/>
        <w:left w:val="none" w:sz="0" w:space="0" w:color="auto"/>
        <w:bottom w:val="none" w:sz="0" w:space="0" w:color="auto"/>
        <w:right w:val="none" w:sz="0" w:space="0" w:color="auto"/>
      </w:divBdr>
      <w:divsChild>
        <w:div w:id="736394331">
          <w:marLeft w:val="994"/>
          <w:marRight w:val="0"/>
          <w:marTop w:val="125"/>
          <w:marBottom w:val="120"/>
          <w:divBdr>
            <w:top w:val="none" w:sz="0" w:space="0" w:color="auto"/>
            <w:left w:val="none" w:sz="0" w:space="0" w:color="auto"/>
            <w:bottom w:val="none" w:sz="0" w:space="0" w:color="auto"/>
            <w:right w:val="none" w:sz="0" w:space="0" w:color="auto"/>
          </w:divBdr>
        </w:div>
      </w:divsChild>
    </w:div>
    <w:div w:id="1274287680">
      <w:bodyDiv w:val="1"/>
      <w:marLeft w:val="0"/>
      <w:marRight w:val="0"/>
      <w:marTop w:val="0"/>
      <w:marBottom w:val="0"/>
      <w:divBdr>
        <w:top w:val="none" w:sz="0" w:space="0" w:color="auto"/>
        <w:left w:val="none" w:sz="0" w:space="0" w:color="auto"/>
        <w:bottom w:val="none" w:sz="0" w:space="0" w:color="auto"/>
        <w:right w:val="none" w:sz="0" w:space="0" w:color="auto"/>
      </w:divBdr>
    </w:div>
    <w:div w:id="1387531021">
      <w:bodyDiv w:val="1"/>
      <w:marLeft w:val="0"/>
      <w:marRight w:val="0"/>
      <w:marTop w:val="0"/>
      <w:marBottom w:val="0"/>
      <w:divBdr>
        <w:top w:val="none" w:sz="0" w:space="0" w:color="auto"/>
        <w:left w:val="none" w:sz="0" w:space="0" w:color="auto"/>
        <w:bottom w:val="none" w:sz="0" w:space="0" w:color="auto"/>
        <w:right w:val="none" w:sz="0" w:space="0" w:color="auto"/>
      </w:divBdr>
    </w:div>
    <w:div w:id="1389836783">
      <w:bodyDiv w:val="1"/>
      <w:marLeft w:val="0"/>
      <w:marRight w:val="0"/>
      <w:marTop w:val="0"/>
      <w:marBottom w:val="0"/>
      <w:divBdr>
        <w:top w:val="none" w:sz="0" w:space="0" w:color="auto"/>
        <w:left w:val="none" w:sz="0" w:space="0" w:color="auto"/>
        <w:bottom w:val="none" w:sz="0" w:space="0" w:color="auto"/>
        <w:right w:val="none" w:sz="0" w:space="0" w:color="auto"/>
      </w:divBdr>
    </w:div>
    <w:div w:id="1605576198">
      <w:bodyDiv w:val="1"/>
      <w:marLeft w:val="0"/>
      <w:marRight w:val="0"/>
      <w:marTop w:val="0"/>
      <w:marBottom w:val="0"/>
      <w:divBdr>
        <w:top w:val="none" w:sz="0" w:space="0" w:color="auto"/>
        <w:left w:val="none" w:sz="0" w:space="0" w:color="auto"/>
        <w:bottom w:val="none" w:sz="0" w:space="0" w:color="auto"/>
        <w:right w:val="none" w:sz="0" w:space="0" w:color="auto"/>
      </w:divBdr>
    </w:div>
    <w:div w:id="1705598305">
      <w:bodyDiv w:val="1"/>
      <w:marLeft w:val="0"/>
      <w:marRight w:val="0"/>
      <w:marTop w:val="0"/>
      <w:marBottom w:val="0"/>
      <w:divBdr>
        <w:top w:val="none" w:sz="0" w:space="0" w:color="auto"/>
        <w:left w:val="none" w:sz="0" w:space="0" w:color="auto"/>
        <w:bottom w:val="none" w:sz="0" w:space="0" w:color="auto"/>
        <w:right w:val="none" w:sz="0" w:space="0" w:color="auto"/>
      </w:divBdr>
    </w:div>
    <w:div w:id="1765764931">
      <w:bodyDiv w:val="1"/>
      <w:marLeft w:val="0"/>
      <w:marRight w:val="0"/>
      <w:marTop w:val="0"/>
      <w:marBottom w:val="0"/>
      <w:divBdr>
        <w:top w:val="none" w:sz="0" w:space="0" w:color="auto"/>
        <w:left w:val="none" w:sz="0" w:space="0" w:color="auto"/>
        <w:bottom w:val="none" w:sz="0" w:space="0" w:color="auto"/>
        <w:right w:val="none" w:sz="0" w:space="0" w:color="auto"/>
      </w:divBdr>
    </w:div>
    <w:div w:id="1883402372">
      <w:bodyDiv w:val="1"/>
      <w:marLeft w:val="0"/>
      <w:marRight w:val="0"/>
      <w:marTop w:val="0"/>
      <w:marBottom w:val="0"/>
      <w:divBdr>
        <w:top w:val="none" w:sz="0" w:space="0" w:color="auto"/>
        <w:left w:val="none" w:sz="0" w:space="0" w:color="auto"/>
        <w:bottom w:val="none" w:sz="0" w:space="0" w:color="auto"/>
        <w:right w:val="none" w:sz="0" w:space="0" w:color="auto"/>
      </w:divBdr>
    </w:div>
    <w:div w:id="1913848190">
      <w:bodyDiv w:val="1"/>
      <w:marLeft w:val="0"/>
      <w:marRight w:val="0"/>
      <w:marTop w:val="0"/>
      <w:marBottom w:val="0"/>
      <w:divBdr>
        <w:top w:val="none" w:sz="0" w:space="0" w:color="auto"/>
        <w:left w:val="none" w:sz="0" w:space="0" w:color="auto"/>
        <w:bottom w:val="none" w:sz="0" w:space="0" w:color="auto"/>
        <w:right w:val="none" w:sz="0" w:space="0" w:color="auto"/>
      </w:divBdr>
    </w:div>
    <w:div w:id="2116316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3.pn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image" Target="media/image2.png"/><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hyperlink" Target="http://en.wikipedia.org/wiki/Underwriting" TargetMode="Externa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chart" Target="charts/chart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treasury.gov/resource-center/data-chart-center/quarterly-refunding/Pages/members-index.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Robert's%20MacBook%20Pro:Users:Robert_Macbook:Documents:PNG_WB:WB_PNG_ROBERT: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Book%20Pro:Users:Robert_Macbook:Documents:PNG_WB:BPNG:Copy%20of%202015%20MMOUQ1%20Operations%20Report-Data%20%20Chart%20(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Book%20Pro:Users:Robert_Macbook:Documents:PNG_WB:BPNG:Copy%20of%202015%20MMOUQ1%20Operations%20Report-Data%20%20Chart%2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Book%20Pro:Users:Robert_Macbook:Documents:PNG_WB:BPNG:Copy%20of%202015%20MMOUQ1%20Operations%20Report-Data%20%20Chart%2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Book%20Pro:Users:Robert_Macbook:Documents:PNG_WB:WB_PNG_ROBERT:CHARTS%20cop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Book%20Pro:Users:Robert_Macbook:Documents:PNG_WB:Copy%20of%202015%20MMOUQ1%20Operations%20Report-Data%20%20Chart%20(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Book%20Pro:Users:Robert_Macbook:Documents:PNG_WB:Copy%20of%202015%20MMOUQ1%20Operations%20Report-Data%20%20Chart%20(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Book%20Pro:Users:Robert_Macbook:Documents:PNG_WB:BPNG:Copy%20of%202015%20MMOUQ1%20Operations%20Report-Data%20%20Chart%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sz="1000"/>
            </a:pPr>
            <a:r>
              <a:rPr lang="en-US" sz="1000"/>
              <a:t>Domestic Government Debt Composition</a:t>
            </a:r>
          </a:p>
        </c:rich>
      </c:tx>
      <c:layout>
        <c:manualLayout>
          <c:xMode val="edge"/>
          <c:yMode val="edge"/>
          <c:x val="0.177362337462369"/>
          <c:y val="0.0489658550745673"/>
        </c:manualLayout>
      </c:layout>
      <c:overlay val="0"/>
    </c:title>
    <c:autoTitleDeleted val="0"/>
    <c:plotArea>
      <c:layout/>
      <c:pieChart>
        <c:varyColors val="1"/>
        <c:ser>
          <c:idx val="0"/>
          <c:order val="0"/>
          <c:dPt>
            <c:idx val="0"/>
            <c:bubble3D val="0"/>
          </c:dPt>
          <c:dPt>
            <c:idx val="1"/>
            <c:bubble3D val="0"/>
          </c:dPt>
          <c:dPt>
            <c:idx val="2"/>
            <c:bubble3D val="0"/>
          </c:dPt>
          <c:dLbls>
            <c:dLbl>
              <c:idx val="0"/>
              <c:layout/>
              <c:tx>
                <c:rich>
                  <a:bodyPr/>
                  <a:lstStyle/>
                  <a:p>
                    <a:r>
                      <a:rPr lang="en-US" sz="1100" b="1">
                        <a:solidFill>
                          <a:schemeClr val="tx1"/>
                        </a:solidFill>
                      </a:rPr>
                      <a:t>T-bills</a:t>
                    </a:r>
                  </a:p>
                  <a:p>
                    <a:r>
                      <a:rPr lang="en-US" sz="1100" b="1">
                        <a:solidFill>
                          <a:schemeClr val="tx1"/>
                        </a:solidFill>
                      </a:rPr>
                      <a:t> 47%</a:t>
                    </a:r>
                    <a:endParaRPr lang="en-US"/>
                  </a:p>
                </c:rich>
              </c:tx>
              <c:showLegendKey val="0"/>
              <c:showVal val="0"/>
              <c:showCatName val="1"/>
              <c:showSerName val="0"/>
              <c:showPercent val="1"/>
              <c:showBubbleSize val="0"/>
            </c:dLbl>
            <c:dLbl>
              <c:idx val="1"/>
              <c:layout>
                <c:manualLayout>
                  <c:x val="0.151240852594402"/>
                  <c:y val="-0.0711282171818075"/>
                </c:manualLayout>
              </c:layout>
              <c:tx>
                <c:rich>
                  <a:bodyPr/>
                  <a:lstStyle/>
                  <a:p>
                    <a:r>
                      <a:rPr lang="en-US" sz="1100" b="1">
                        <a:solidFill>
                          <a:schemeClr val="tx1"/>
                        </a:solidFill>
                      </a:rPr>
                      <a:t>GIS</a:t>
                    </a:r>
                  </a:p>
                  <a:p>
                    <a:r>
                      <a:rPr lang="en-US" sz="1100" b="1">
                        <a:solidFill>
                          <a:schemeClr val="tx1"/>
                        </a:solidFill>
                      </a:rPr>
                      <a:t> 53%</a:t>
                    </a:r>
                    <a:endParaRPr lang="en-US"/>
                  </a:p>
                </c:rich>
              </c:tx>
              <c:showLegendKey val="0"/>
              <c:showVal val="0"/>
              <c:showCatName val="1"/>
              <c:showSerName val="0"/>
              <c:showPercent val="0"/>
              <c:showBubbleSize val="0"/>
            </c:dLbl>
            <c:dLbl>
              <c:idx val="2"/>
              <c:layout>
                <c:manualLayout>
                  <c:x val="-0.134340361107255"/>
                  <c:y val="0.0304101049868767"/>
                </c:manualLayout>
              </c:layout>
              <c:tx>
                <c:rich>
                  <a:bodyPr/>
                  <a:lstStyle/>
                  <a:p>
                    <a:r>
                      <a:rPr lang="en-US" sz="1100" b="1">
                        <a:solidFill>
                          <a:schemeClr val="tx1"/>
                        </a:solidFill>
                      </a:rPr>
                      <a:t>other</a:t>
                    </a:r>
                  </a:p>
                  <a:p>
                    <a:r>
                      <a:rPr lang="en-US" sz="1100" b="1">
                        <a:solidFill>
                          <a:schemeClr val="tx1"/>
                        </a:solidFill>
                      </a:rPr>
                      <a:t> 1%</a:t>
                    </a:r>
                    <a:endParaRPr lang="en-US" sz="1100" b="1"/>
                  </a:p>
                </c:rich>
              </c:tx>
              <c:showLegendKey val="0"/>
              <c:showVal val="0"/>
              <c:showCatName val="1"/>
              <c:showSerName val="0"/>
              <c:showPercent val="1"/>
              <c:showBubbleSize val="0"/>
            </c:dLbl>
            <c:txPr>
              <a:bodyPr/>
              <a:lstStyle/>
              <a:p>
                <a:pPr>
                  <a:defRPr sz="1100" b="1">
                    <a:solidFill>
                      <a:schemeClr val="tx1"/>
                    </a:solidFill>
                  </a:defRPr>
                </a:pPr>
                <a:endParaRPr lang="en-US"/>
              </a:p>
            </c:txPr>
            <c:showLegendKey val="0"/>
            <c:showVal val="0"/>
            <c:showCatName val="1"/>
            <c:showSerName val="0"/>
            <c:showPercent val="1"/>
            <c:showBubbleSize val="0"/>
            <c:showLeaderLines val="1"/>
          </c:dLbls>
          <c:val>
            <c:numRef>
              <c:f>Sheet1!$I$7:$I$9</c:f>
              <c:numCache>
                <c:formatCode>0%</c:formatCode>
                <c:ptCount val="3"/>
                <c:pt idx="0">
                  <c:v>0.47</c:v>
                </c:pt>
                <c:pt idx="1">
                  <c:v>0.52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a:solidFill>
        <a:schemeClr val="tx1"/>
      </a:solidFill>
    </a:ln>
    <a:scene3d>
      <a:camera prst="orthographicFront"/>
      <a:lightRig rig="threePt" dir="t"/>
    </a:scene3d>
    <a:sp3d>
      <a:bevelT/>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AU" sz="1200"/>
              <a:t>Government Bond Yield Curve</a:t>
            </a:r>
            <a:r>
              <a:rPr lang="en-AU" sz="1200" baseline="0"/>
              <a:t> (%)</a:t>
            </a:r>
            <a:endParaRPr lang="en-AU" sz="1200"/>
          </a:p>
        </c:rich>
      </c:tx>
      <c:layout>
        <c:manualLayout>
          <c:xMode val="edge"/>
          <c:yMode val="edge"/>
          <c:x val="0.288935938563235"/>
          <c:y val="0.00428409135425236"/>
        </c:manualLayout>
      </c:layout>
      <c:overlay val="0"/>
    </c:title>
    <c:autoTitleDeleted val="0"/>
    <c:plotArea>
      <c:layout>
        <c:manualLayout>
          <c:layoutTarget val="inner"/>
          <c:xMode val="edge"/>
          <c:yMode val="edge"/>
          <c:x val="0.148238845144357"/>
          <c:y val="0.104861111111111"/>
          <c:w val="0.801761154855643"/>
          <c:h val="0.726506270049577"/>
        </c:manualLayout>
      </c:layout>
      <c:lineChart>
        <c:grouping val="standard"/>
        <c:varyColors val="0"/>
        <c:ser>
          <c:idx val="0"/>
          <c:order val="0"/>
          <c:tx>
            <c:v>Jan-14</c:v>
          </c:tx>
          <c:marker>
            <c:symbol val="none"/>
          </c:marker>
          <c:cat>
            <c:strRef>
              <c:f>'MMOU Qtrly Rpt '!$J$71:$P$71</c:f>
              <c:strCache>
                <c:ptCount val="7"/>
                <c:pt idx="0">
                  <c:v>182 Days</c:v>
                </c:pt>
                <c:pt idx="1">
                  <c:v>364 Days</c:v>
                </c:pt>
                <c:pt idx="2">
                  <c:v>3yr yield</c:v>
                </c:pt>
                <c:pt idx="3">
                  <c:v>7yr Yield</c:v>
                </c:pt>
                <c:pt idx="4">
                  <c:v>10yr yield</c:v>
                </c:pt>
                <c:pt idx="5">
                  <c:v>13yr Yield</c:v>
                </c:pt>
                <c:pt idx="6">
                  <c:v>17yr Yield</c:v>
                </c:pt>
              </c:strCache>
            </c:strRef>
          </c:cat>
          <c:val>
            <c:numRef>
              <c:f>'MMOU Qtrly Rpt '!$J$72:$P$72</c:f>
              <c:numCache>
                <c:formatCode>0.00</c:formatCode>
                <c:ptCount val="7"/>
                <c:pt idx="0">
                  <c:v>2.598</c:v>
                </c:pt>
                <c:pt idx="1">
                  <c:v>3.964</c:v>
                </c:pt>
                <c:pt idx="2">
                  <c:v>6.02</c:v>
                </c:pt>
                <c:pt idx="3">
                  <c:v>8.02</c:v>
                </c:pt>
                <c:pt idx="4">
                  <c:v>9.39</c:v>
                </c:pt>
                <c:pt idx="5">
                  <c:v>10.1</c:v>
                </c:pt>
                <c:pt idx="6">
                  <c:v>11.67</c:v>
                </c:pt>
              </c:numCache>
            </c:numRef>
          </c:val>
          <c:smooth val="0"/>
        </c:ser>
        <c:ser>
          <c:idx val="1"/>
          <c:order val="1"/>
          <c:tx>
            <c:v>Feb-15</c:v>
          </c:tx>
          <c:marker>
            <c:symbol val="none"/>
          </c:marker>
          <c:cat>
            <c:strRef>
              <c:f>'MMOU Qtrly Rpt '!$J$71:$P$71</c:f>
              <c:strCache>
                <c:ptCount val="7"/>
                <c:pt idx="0">
                  <c:v>182 Days</c:v>
                </c:pt>
                <c:pt idx="1">
                  <c:v>364 Days</c:v>
                </c:pt>
                <c:pt idx="2">
                  <c:v>3yr yield</c:v>
                </c:pt>
                <c:pt idx="3">
                  <c:v>7yr Yield</c:v>
                </c:pt>
                <c:pt idx="4">
                  <c:v>10yr yield</c:v>
                </c:pt>
                <c:pt idx="5">
                  <c:v>13yr Yield</c:v>
                </c:pt>
                <c:pt idx="6">
                  <c:v>17yr Yield</c:v>
                </c:pt>
              </c:strCache>
            </c:strRef>
          </c:cat>
          <c:val>
            <c:numRef>
              <c:f>'MMOU Qtrly Rpt '!$J$85:$P$85</c:f>
              <c:numCache>
                <c:formatCode>0.00</c:formatCode>
                <c:ptCount val="7"/>
                <c:pt idx="0">
                  <c:v>4.632499999999998</c:v>
                </c:pt>
                <c:pt idx="1">
                  <c:v>7.367499999999985</c:v>
                </c:pt>
                <c:pt idx="2">
                  <c:v>9.780000000000001</c:v>
                </c:pt>
                <c:pt idx="3">
                  <c:v>10.8</c:v>
                </c:pt>
                <c:pt idx="4">
                  <c:v>11.56</c:v>
                </c:pt>
                <c:pt idx="5">
                  <c:v>12.63</c:v>
                </c:pt>
                <c:pt idx="6">
                  <c:v>13.74</c:v>
                </c:pt>
              </c:numCache>
            </c:numRef>
          </c:val>
          <c:smooth val="0"/>
        </c:ser>
        <c:dLbls>
          <c:showLegendKey val="0"/>
          <c:showVal val="0"/>
          <c:showCatName val="0"/>
          <c:showSerName val="0"/>
          <c:showPercent val="0"/>
          <c:showBubbleSize val="0"/>
        </c:dLbls>
        <c:marker val="1"/>
        <c:smooth val="0"/>
        <c:axId val="2118655432"/>
        <c:axId val="2029863736"/>
      </c:lineChart>
      <c:catAx>
        <c:axId val="2118655432"/>
        <c:scaling>
          <c:orientation val="minMax"/>
        </c:scaling>
        <c:delete val="0"/>
        <c:axPos val="b"/>
        <c:majorTickMark val="none"/>
        <c:minorTickMark val="none"/>
        <c:tickLblPos val="nextTo"/>
        <c:txPr>
          <a:bodyPr/>
          <a:lstStyle/>
          <a:p>
            <a:pPr>
              <a:defRPr sz="800"/>
            </a:pPr>
            <a:endParaRPr lang="en-US"/>
          </a:p>
        </c:txPr>
        <c:crossAx val="2029863736"/>
        <c:crosses val="autoZero"/>
        <c:auto val="1"/>
        <c:lblAlgn val="ctr"/>
        <c:lblOffset val="100"/>
        <c:noMultiLvlLbl val="0"/>
      </c:catAx>
      <c:valAx>
        <c:axId val="2029863736"/>
        <c:scaling>
          <c:orientation val="minMax"/>
        </c:scaling>
        <c:delete val="0"/>
        <c:axPos val="l"/>
        <c:majorGridlines/>
        <c:title>
          <c:tx>
            <c:rich>
              <a:bodyPr/>
              <a:lstStyle/>
              <a:p>
                <a:pPr>
                  <a:defRPr/>
                </a:pPr>
                <a:r>
                  <a:rPr lang="en-AU"/>
                  <a:t>%</a:t>
                </a:r>
              </a:p>
            </c:rich>
          </c:tx>
          <c:layout>
            <c:manualLayout>
              <c:xMode val="edge"/>
              <c:yMode val="edge"/>
              <c:x val="0.0138888888888889"/>
              <c:y val="0.0993872120151647"/>
            </c:manualLayout>
          </c:layout>
          <c:overlay val="0"/>
        </c:title>
        <c:numFmt formatCode="0.00" sourceLinked="1"/>
        <c:majorTickMark val="none"/>
        <c:minorTickMark val="none"/>
        <c:tickLblPos val="nextTo"/>
        <c:txPr>
          <a:bodyPr/>
          <a:lstStyle/>
          <a:p>
            <a:pPr>
              <a:defRPr sz="800"/>
            </a:pPr>
            <a:endParaRPr lang="en-US"/>
          </a:p>
        </c:txPr>
        <c:crossAx val="2118655432"/>
        <c:crosses val="autoZero"/>
        <c:crossBetween val="between"/>
      </c:valAx>
    </c:plotArea>
    <c:legend>
      <c:legendPos val="b"/>
      <c:layout>
        <c:manualLayout>
          <c:xMode val="edge"/>
          <c:yMode val="edge"/>
          <c:x val="0.332010936132983"/>
          <c:y val="0.91628280839895"/>
          <c:w val="0.341533683289589"/>
          <c:h val="0.0837171916010499"/>
        </c:manualLayout>
      </c:layout>
      <c:overlay val="0"/>
    </c:legend>
    <c:plotVisOnly val="1"/>
    <c:dispBlanksAs val="gap"/>
    <c:showDLblsOverMax val="0"/>
  </c:chart>
  <c:spPr>
    <a:solidFill>
      <a:schemeClr val="bg1">
        <a:lumMod val="95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Times New Roman"/>
                <a:cs typeface="Times New Roman"/>
              </a:defRPr>
            </a:pPr>
            <a:r>
              <a:rPr lang="en-AU" sz="1200">
                <a:latin typeface="Times New Roman"/>
                <a:cs typeface="Times New Roman"/>
              </a:rPr>
              <a:t>Net Subscriptions (million kina)</a:t>
            </a:r>
          </a:p>
        </c:rich>
      </c:tx>
      <c:layout/>
      <c:overlay val="0"/>
    </c:title>
    <c:autoTitleDeleted val="0"/>
    <c:plotArea>
      <c:layout>
        <c:manualLayout>
          <c:layoutTarget val="inner"/>
          <c:xMode val="edge"/>
          <c:yMode val="edge"/>
          <c:x val="0.0815628528376072"/>
          <c:y val="0.130453599256206"/>
          <c:w val="0.862564746771923"/>
          <c:h val="0.765061091501494"/>
        </c:manualLayout>
      </c:layout>
      <c:barChart>
        <c:barDir val="col"/>
        <c:grouping val="clustered"/>
        <c:varyColors val="0"/>
        <c:ser>
          <c:idx val="0"/>
          <c:order val="0"/>
          <c:tx>
            <c:strRef>
              <c:f>'Parliamentary Brief'!$C$61</c:f>
              <c:strCache>
                <c:ptCount val="1"/>
                <c:pt idx="0">
                  <c:v>Treasury  bills (Mkt Subscription)</c:v>
                </c:pt>
              </c:strCache>
            </c:strRef>
          </c:tx>
          <c:invertIfNegative val="0"/>
          <c:cat>
            <c:numRef>
              <c:f>'Parliamentary Brief'!$B$64:$B$77</c:f>
              <c:numCache>
                <c:formatCode>mmm\-yy</c:formatCode>
                <c:ptCount val="14"/>
                <c:pt idx="0">
                  <c:v>41699.0</c:v>
                </c:pt>
                <c:pt idx="1">
                  <c:v>41730.0</c:v>
                </c:pt>
                <c:pt idx="2">
                  <c:v>41760.0</c:v>
                </c:pt>
                <c:pt idx="3">
                  <c:v>41791.0</c:v>
                </c:pt>
                <c:pt idx="4">
                  <c:v>41821.0</c:v>
                </c:pt>
                <c:pt idx="5">
                  <c:v>41852.0</c:v>
                </c:pt>
                <c:pt idx="6">
                  <c:v>41883.0</c:v>
                </c:pt>
                <c:pt idx="7">
                  <c:v>41913.0</c:v>
                </c:pt>
                <c:pt idx="8">
                  <c:v>41944.0</c:v>
                </c:pt>
                <c:pt idx="9">
                  <c:v>41974.0</c:v>
                </c:pt>
                <c:pt idx="10">
                  <c:v>42005.0</c:v>
                </c:pt>
                <c:pt idx="11">
                  <c:v>42036.0</c:v>
                </c:pt>
                <c:pt idx="12">
                  <c:v>42064.0</c:v>
                </c:pt>
                <c:pt idx="13">
                  <c:v>42095.0</c:v>
                </c:pt>
              </c:numCache>
            </c:numRef>
          </c:cat>
          <c:val>
            <c:numRef>
              <c:f>'Parliamentary Brief'!$C$64:$C$77</c:f>
              <c:numCache>
                <c:formatCode>#,##0.00_ ;\-#,##0.00\ </c:formatCode>
                <c:ptCount val="14"/>
                <c:pt idx="0">
                  <c:v>91.45999999999996</c:v>
                </c:pt>
                <c:pt idx="1">
                  <c:v>178.79</c:v>
                </c:pt>
                <c:pt idx="2">
                  <c:v>0.0</c:v>
                </c:pt>
                <c:pt idx="3">
                  <c:v>0.0</c:v>
                </c:pt>
                <c:pt idx="4">
                  <c:v>68.71</c:v>
                </c:pt>
                <c:pt idx="5">
                  <c:v>122.4</c:v>
                </c:pt>
                <c:pt idx="6" formatCode="General">
                  <c:v>-153.9</c:v>
                </c:pt>
                <c:pt idx="7" formatCode="General">
                  <c:v>-353.5</c:v>
                </c:pt>
                <c:pt idx="8" formatCode="General">
                  <c:v>-137.89</c:v>
                </c:pt>
                <c:pt idx="9" formatCode="General">
                  <c:v>-426.9300000000001</c:v>
                </c:pt>
                <c:pt idx="10" formatCode="General">
                  <c:v>-344.08</c:v>
                </c:pt>
                <c:pt idx="11" formatCode="0.00">
                  <c:v>-323.6600000000001</c:v>
                </c:pt>
                <c:pt idx="12" formatCode="0.00">
                  <c:v>-34.8</c:v>
                </c:pt>
                <c:pt idx="13" formatCode="0.00">
                  <c:v>-110.48</c:v>
                </c:pt>
              </c:numCache>
            </c:numRef>
          </c:val>
        </c:ser>
        <c:ser>
          <c:idx val="1"/>
          <c:order val="1"/>
          <c:tx>
            <c:strRef>
              <c:f>'Parliamentary Brief'!$D$61</c:f>
              <c:strCache>
                <c:ptCount val="1"/>
                <c:pt idx="0">
                  <c:v>Inscribed Stock </c:v>
                </c:pt>
              </c:strCache>
            </c:strRef>
          </c:tx>
          <c:invertIfNegative val="0"/>
          <c:cat>
            <c:numRef>
              <c:f>'Parliamentary Brief'!$B$64:$B$77</c:f>
              <c:numCache>
                <c:formatCode>mmm\-yy</c:formatCode>
                <c:ptCount val="14"/>
                <c:pt idx="0">
                  <c:v>41699.0</c:v>
                </c:pt>
                <c:pt idx="1">
                  <c:v>41730.0</c:v>
                </c:pt>
                <c:pt idx="2">
                  <c:v>41760.0</c:v>
                </c:pt>
                <c:pt idx="3">
                  <c:v>41791.0</c:v>
                </c:pt>
                <c:pt idx="4">
                  <c:v>41821.0</c:v>
                </c:pt>
                <c:pt idx="5">
                  <c:v>41852.0</c:v>
                </c:pt>
                <c:pt idx="6">
                  <c:v>41883.0</c:v>
                </c:pt>
                <c:pt idx="7">
                  <c:v>41913.0</c:v>
                </c:pt>
                <c:pt idx="8">
                  <c:v>41944.0</c:v>
                </c:pt>
                <c:pt idx="9">
                  <c:v>41974.0</c:v>
                </c:pt>
                <c:pt idx="10">
                  <c:v>42005.0</c:v>
                </c:pt>
                <c:pt idx="11">
                  <c:v>42036.0</c:v>
                </c:pt>
                <c:pt idx="12">
                  <c:v>42064.0</c:v>
                </c:pt>
                <c:pt idx="13">
                  <c:v>42095.0</c:v>
                </c:pt>
              </c:numCache>
            </c:numRef>
          </c:cat>
          <c:val>
            <c:numRef>
              <c:f>'Parliamentary Brief'!$D$64:$D$77</c:f>
              <c:numCache>
                <c:formatCode>0.00</c:formatCode>
                <c:ptCount val="14"/>
                <c:pt idx="0">
                  <c:v>-11.0</c:v>
                </c:pt>
                <c:pt idx="1">
                  <c:v>50.7</c:v>
                </c:pt>
                <c:pt idx="2">
                  <c:v>57.02</c:v>
                </c:pt>
                <c:pt idx="3">
                  <c:v>102.87</c:v>
                </c:pt>
                <c:pt idx="4">
                  <c:v>160.15</c:v>
                </c:pt>
                <c:pt idx="5">
                  <c:v>110.36</c:v>
                </c:pt>
                <c:pt idx="6">
                  <c:v>68.9</c:v>
                </c:pt>
                <c:pt idx="7">
                  <c:v>45.0</c:v>
                </c:pt>
                <c:pt idx="8">
                  <c:v>-67.33</c:v>
                </c:pt>
                <c:pt idx="9">
                  <c:v>67.60999999999998</c:v>
                </c:pt>
                <c:pt idx="10">
                  <c:v>0.0</c:v>
                </c:pt>
                <c:pt idx="11">
                  <c:v>65.0</c:v>
                </c:pt>
                <c:pt idx="12" formatCode="0.0">
                  <c:v>54.0</c:v>
                </c:pt>
                <c:pt idx="13" formatCode="General">
                  <c:v>4.78</c:v>
                </c:pt>
              </c:numCache>
            </c:numRef>
          </c:val>
        </c:ser>
        <c:dLbls>
          <c:showLegendKey val="0"/>
          <c:showVal val="0"/>
          <c:showCatName val="0"/>
          <c:showSerName val="0"/>
          <c:showPercent val="0"/>
          <c:showBubbleSize val="0"/>
        </c:dLbls>
        <c:gapWidth val="75"/>
        <c:overlap val="-25"/>
        <c:axId val="2120412440"/>
        <c:axId val="2109467576"/>
      </c:barChart>
      <c:dateAx>
        <c:axId val="2120412440"/>
        <c:scaling>
          <c:orientation val="minMax"/>
        </c:scaling>
        <c:delete val="0"/>
        <c:axPos val="b"/>
        <c:numFmt formatCode="mmm\-yy" sourceLinked="1"/>
        <c:majorTickMark val="none"/>
        <c:minorTickMark val="none"/>
        <c:tickLblPos val="nextTo"/>
        <c:txPr>
          <a:bodyPr/>
          <a:lstStyle/>
          <a:p>
            <a:pPr>
              <a:defRPr sz="800"/>
            </a:pPr>
            <a:endParaRPr lang="en-US"/>
          </a:p>
        </c:txPr>
        <c:crossAx val="2109467576"/>
        <c:crosses val="autoZero"/>
        <c:auto val="1"/>
        <c:lblOffset val="100"/>
        <c:baseTimeUnit val="months"/>
      </c:dateAx>
      <c:valAx>
        <c:axId val="2109467576"/>
        <c:scaling>
          <c:orientation val="minMax"/>
        </c:scaling>
        <c:delete val="0"/>
        <c:axPos val="l"/>
        <c:majorGridlines/>
        <c:numFmt formatCode="#,##0.00_ ;\-#,##0.00\ " sourceLinked="1"/>
        <c:majorTickMark val="none"/>
        <c:minorTickMark val="none"/>
        <c:tickLblPos val="nextTo"/>
        <c:txPr>
          <a:bodyPr/>
          <a:lstStyle/>
          <a:p>
            <a:pPr>
              <a:defRPr b="1"/>
            </a:pPr>
            <a:endParaRPr lang="en-US"/>
          </a:p>
        </c:txPr>
        <c:crossAx val="2120412440"/>
        <c:crosses val="autoZero"/>
        <c:crossBetween val="between"/>
      </c:valAx>
    </c:plotArea>
    <c:legend>
      <c:legendPos val="b"/>
      <c:layout/>
      <c:overlay val="0"/>
      <c:txPr>
        <a:bodyPr/>
        <a:lstStyle/>
        <a:p>
          <a:pPr>
            <a:defRPr b="1">
              <a:latin typeface="Times New Roman"/>
              <a:cs typeface="Times New Roman"/>
            </a:defRPr>
          </a:pPr>
          <a:endParaRPr lang="en-US"/>
        </a:p>
      </c:txPr>
    </c:legend>
    <c:plotVisOnly val="1"/>
    <c:dispBlanksAs val="gap"/>
    <c:showDLblsOverMax val="0"/>
  </c:chart>
  <c:spPr>
    <a:solidFill>
      <a:schemeClr val="bg1">
        <a:lumMod val="85000"/>
      </a:schemeClr>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a:cs typeface="Times New Roman"/>
              </a:defRPr>
            </a:pPr>
            <a:r>
              <a:rPr lang="en-AU" sz="1100">
                <a:latin typeface="Times New Roman"/>
                <a:cs typeface="Times New Roman"/>
              </a:rPr>
              <a:t>Government Securities Net Subscription &amp; BPNG Slack (mm Kina) </a:t>
            </a:r>
          </a:p>
        </c:rich>
      </c:tx>
      <c:layout>
        <c:manualLayout>
          <c:xMode val="edge"/>
          <c:yMode val="edge"/>
          <c:x val="0.145119021580636"/>
          <c:y val="0.0"/>
        </c:manualLayout>
      </c:layout>
      <c:overlay val="0"/>
    </c:title>
    <c:autoTitleDeleted val="0"/>
    <c:plotArea>
      <c:layout>
        <c:manualLayout>
          <c:layoutTarget val="inner"/>
          <c:xMode val="edge"/>
          <c:yMode val="edge"/>
          <c:x val="0.14996062992126"/>
          <c:y val="0.109965368912219"/>
          <c:w val="0.798468037379741"/>
          <c:h val="0.787324292796734"/>
        </c:manualLayout>
      </c:layout>
      <c:barChart>
        <c:barDir val="col"/>
        <c:grouping val="clustered"/>
        <c:varyColors val="0"/>
        <c:ser>
          <c:idx val="1"/>
          <c:order val="1"/>
          <c:tx>
            <c:strRef>
              <c:f>'Parliamentary Brief'!$D$61</c:f>
              <c:strCache>
                <c:ptCount val="1"/>
                <c:pt idx="0">
                  <c:v>Inscribed Stock </c:v>
                </c:pt>
              </c:strCache>
            </c:strRef>
          </c:tx>
          <c:invertIfNegative val="0"/>
          <c:cat>
            <c:numRef>
              <c:f>'Parliamentary Brief'!$B$70:$B$77</c:f>
              <c:numCache>
                <c:formatCode>mmm\-yy</c:formatCode>
                <c:ptCount val="8"/>
                <c:pt idx="0">
                  <c:v>41883.0</c:v>
                </c:pt>
                <c:pt idx="1">
                  <c:v>41913.0</c:v>
                </c:pt>
                <c:pt idx="2">
                  <c:v>41944.0</c:v>
                </c:pt>
                <c:pt idx="3">
                  <c:v>41974.0</c:v>
                </c:pt>
                <c:pt idx="4">
                  <c:v>42005.0</c:v>
                </c:pt>
                <c:pt idx="5">
                  <c:v>42036.0</c:v>
                </c:pt>
                <c:pt idx="6">
                  <c:v>42064.0</c:v>
                </c:pt>
                <c:pt idx="7">
                  <c:v>42095.0</c:v>
                </c:pt>
              </c:numCache>
            </c:numRef>
          </c:cat>
          <c:val>
            <c:numRef>
              <c:f>'Parliamentary Brief'!$D$70:$D$77</c:f>
              <c:numCache>
                <c:formatCode>0.00</c:formatCode>
                <c:ptCount val="8"/>
                <c:pt idx="0">
                  <c:v>68.9</c:v>
                </c:pt>
                <c:pt idx="1">
                  <c:v>45.0</c:v>
                </c:pt>
                <c:pt idx="2">
                  <c:v>-67.33</c:v>
                </c:pt>
                <c:pt idx="3">
                  <c:v>67.60999999999998</c:v>
                </c:pt>
                <c:pt idx="4">
                  <c:v>0.0</c:v>
                </c:pt>
                <c:pt idx="5">
                  <c:v>65.0</c:v>
                </c:pt>
                <c:pt idx="6" formatCode="0.0">
                  <c:v>54.0</c:v>
                </c:pt>
                <c:pt idx="7" formatCode="General">
                  <c:v>4.78</c:v>
                </c:pt>
              </c:numCache>
            </c:numRef>
          </c:val>
        </c:ser>
        <c:ser>
          <c:idx val="2"/>
          <c:order val="2"/>
          <c:tx>
            <c:strRef>
              <c:f>'Parliamentary Brief'!$E$61</c:f>
              <c:strCache>
                <c:ptCount val="1"/>
                <c:pt idx="0">
                  <c:v>BPNG Tbill Slacks</c:v>
                </c:pt>
              </c:strCache>
            </c:strRef>
          </c:tx>
          <c:invertIfNegative val="0"/>
          <c:cat>
            <c:numRef>
              <c:f>'Parliamentary Brief'!$B$70:$B$77</c:f>
              <c:numCache>
                <c:formatCode>mmm\-yy</c:formatCode>
                <c:ptCount val="8"/>
                <c:pt idx="0">
                  <c:v>41883.0</c:v>
                </c:pt>
                <c:pt idx="1">
                  <c:v>41913.0</c:v>
                </c:pt>
                <c:pt idx="2">
                  <c:v>41944.0</c:v>
                </c:pt>
                <c:pt idx="3">
                  <c:v>41974.0</c:v>
                </c:pt>
                <c:pt idx="4">
                  <c:v>42005.0</c:v>
                </c:pt>
                <c:pt idx="5">
                  <c:v>42036.0</c:v>
                </c:pt>
                <c:pt idx="6">
                  <c:v>42064.0</c:v>
                </c:pt>
                <c:pt idx="7">
                  <c:v>42095.0</c:v>
                </c:pt>
              </c:numCache>
            </c:numRef>
          </c:cat>
          <c:val>
            <c:numRef>
              <c:f>'Parliamentary Brief'!$E$70:$E$77</c:f>
              <c:numCache>
                <c:formatCode>0.00</c:formatCode>
                <c:ptCount val="8"/>
                <c:pt idx="0">
                  <c:v>261.0</c:v>
                </c:pt>
                <c:pt idx="1">
                  <c:v>564.6</c:v>
                </c:pt>
                <c:pt idx="2">
                  <c:v>185.72</c:v>
                </c:pt>
                <c:pt idx="3">
                  <c:v>343.63</c:v>
                </c:pt>
                <c:pt idx="4">
                  <c:v>397.6</c:v>
                </c:pt>
                <c:pt idx="5">
                  <c:v>112.9</c:v>
                </c:pt>
                <c:pt idx="6" formatCode="0.0">
                  <c:v>0.0</c:v>
                </c:pt>
                <c:pt idx="7">
                  <c:v>0.0</c:v>
                </c:pt>
              </c:numCache>
            </c:numRef>
          </c:val>
        </c:ser>
        <c:dLbls>
          <c:showLegendKey val="0"/>
          <c:showVal val="0"/>
          <c:showCatName val="0"/>
          <c:showSerName val="0"/>
          <c:showPercent val="0"/>
          <c:showBubbleSize val="0"/>
        </c:dLbls>
        <c:gapWidth val="150"/>
        <c:axId val="2117845576"/>
        <c:axId val="2117927592"/>
      </c:barChart>
      <c:lineChart>
        <c:grouping val="standard"/>
        <c:varyColors val="0"/>
        <c:ser>
          <c:idx val="0"/>
          <c:order val="0"/>
          <c:tx>
            <c:strRef>
              <c:f>'Parliamentary Brief'!$C$61</c:f>
              <c:strCache>
                <c:ptCount val="1"/>
                <c:pt idx="0">
                  <c:v>Treasury  bills (Mkt Subscription)</c:v>
                </c:pt>
              </c:strCache>
            </c:strRef>
          </c:tx>
          <c:marker>
            <c:symbol val="none"/>
          </c:marker>
          <c:cat>
            <c:numRef>
              <c:f>'Parliamentary Brief'!$B$70:$B$77</c:f>
              <c:numCache>
                <c:formatCode>mmm\-yy</c:formatCode>
                <c:ptCount val="8"/>
                <c:pt idx="0">
                  <c:v>41883.0</c:v>
                </c:pt>
                <c:pt idx="1">
                  <c:v>41913.0</c:v>
                </c:pt>
                <c:pt idx="2">
                  <c:v>41944.0</c:v>
                </c:pt>
                <c:pt idx="3">
                  <c:v>41974.0</c:v>
                </c:pt>
                <c:pt idx="4">
                  <c:v>42005.0</c:v>
                </c:pt>
                <c:pt idx="5">
                  <c:v>42036.0</c:v>
                </c:pt>
                <c:pt idx="6">
                  <c:v>42064.0</c:v>
                </c:pt>
                <c:pt idx="7">
                  <c:v>42095.0</c:v>
                </c:pt>
              </c:numCache>
            </c:numRef>
          </c:cat>
          <c:val>
            <c:numRef>
              <c:f>'Parliamentary Brief'!$C$70:$C$77</c:f>
              <c:numCache>
                <c:formatCode>General</c:formatCode>
                <c:ptCount val="8"/>
                <c:pt idx="0">
                  <c:v>-153.9</c:v>
                </c:pt>
                <c:pt idx="1">
                  <c:v>-353.5</c:v>
                </c:pt>
                <c:pt idx="2">
                  <c:v>-137.89</c:v>
                </c:pt>
                <c:pt idx="3">
                  <c:v>-426.9300000000001</c:v>
                </c:pt>
                <c:pt idx="4">
                  <c:v>-344.08</c:v>
                </c:pt>
                <c:pt idx="5" formatCode="0.00">
                  <c:v>-323.6600000000001</c:v>
                </c:pt>
                <c:pt idx="6" formatCode="0.00">
                  <c:v>-34.8</c:v>
                </c:pt>
                <c:pt idx="7" formatCode="0.00">
                  <c:v>-110.48</c:v>
                </c:pt>
              </c:numCache>
            </c:numRef>
          </c:val>
          <c:smooth val="1"/>
        </c:ser>
        <c:dLbls>
          <c:showLegendKey val="0"/>
          <c:showVal val="0"/>
          <c:showCatName val="0"/>
          <c:showSerName val="0"/>
          <c:showPercent val="0"/>
          <c:showBubbleSize val="0"/>
        </c:dLbls>
        <c:marker val="1"/>
        <c:smooth val="0"/>
        <c:axId val="2117845576"/>
        <c:axId val="2117927592"/>
      </c:lineChart>
      <c:dateAx>
        <c:axId val="2117845576"/>
        <c:scaling>
          <c:orientation val="minMax"/>
        </c:scaling>
        <c:delete val="0"/>
        <c:axPos val="b"/>
        <c:numFmt formatCode="mmm\-yy" sourceLinked="1"/>
        <c:majorTickMark val="none"/>
        <c:minorTickMark val="none"/>
        <c:tickLblPos val="nextTo"/>
        <c:txPr>
          <a:bodyPr/>
          <a:lstStyle/>
          <a:p>
            <a:pPr>
              <a:defRPr sz="900"/>
            </a:pPr>
            <a:endParaRPr lang="en-US"/>
          </a:p>
        </c:txPr>
        <c:crossAx val="2117927592"/>
        <c:crosses val="autoZero"/>
        <c:auto val="1"/>
        <c:lblOffset val="100"/>
        <c:baseTimeUnit val="months"/>
      </c:dateAx>
      <c:valAx>
        <c:axId val="2117927592"/>
        <c:scaling>
          <c:orientation val="minMax"/>
          <c:max val="600.0"/>
        </c:scaling>
        <c:delete val="0"/>
        <c:axPos val="l"/>
        <c:majorGridlines/>
        <c:numFmt formatCode="0.00" sourceLinked="1"/>
        <c:majorTickMark val="none"/>
        <c:minorTickMark val="none"/>
        <c:tickLblPos val="nextTo"/>
        <c:txPr>
          <a:bodyPr/>
          <a:lstStyle/>
          <a:p>
            <a:pPr>
              <a:defRPr b="1"/>
            </a:pPr>
            <a:endParaRPr lang="en-US"/>
          </a:p>
        </c:txPr>
        <c:crossAx val="2117845576"/>
        <c:crosses val="autoZero"/>
        <c:crossBetween val="between"/>
      </c:valAx>
    </c:plotArea>
    <c:legend>
      <c:legendPos val="b"/>
      <c:layout>
        <c:manualLayout>
          <c:xMode val="edge"/>
          <c:yMode val="edge"/>
          <c:x val="0.113844102820481"/>
          <c:y val="0.902393802894412"/>
          <c:w val="0.859216597925259"/>
          <c:h val="0.0696836527896916"/>
        </c:manualLayout>
      </c:layout>
      <c:overlay val="0"/>
    </c:legend>
    <c:plotVisOnly val="1"/>
    <c:dispBlanksAs val="gap"/>
    <c:showDLblsOverMax val="0"/>
  </c:chart>
  <c:spPr>
    <a:solidFill>
      <a:schemeClr val="bg1">
        <a:lumMod val="85000"/>
      </a:schemeClr>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latin typeface="Times New Roman"/>
                <a:cs typeface="Times New Roman"/>
              </a:defRPr>
            </a:pPr>
            <a:r>
              <a:rPr lang="en-US" sz="1200">
                <a:latin typeface="Times New Roman"/>
                <a:cs typeface="Times New Roman"/>
              </a:rPr>
              <a:t>CBB</a:t>
            </a:r>
            <a:r>
              <a:rPr lang="en-US" sz="1200" baseline="0">
                <a:latin typeface="Times New Roman"/>
                <a:cs typeface="Times New Roman"/>
              </a:rPr>
              <a:t> Composition (as of Dec 2014)</a:t>
            </a:r>
            <a:endParaRPr lang="en-US" sz="1200">
              <a:latin typeface="Times New Roman"/>
              <a:cs typeface="Times New Roman"/>
            </a:endParaRPr>
          </a:p>
        </c:rich>
      </c:tx>
      <c:layout>
        <c:manualLayout>
          <c:xMode val="edge"/>
          <c:yMode val="edge"/>
          <c:x val="0.173203943515325"/>
          <c:y val="0.0885542168674699"/>
        </c:manualLayout>
      </c:layout>
      <c:overlay val="0"/>
    </c:title>
    <c:autoTitleDeleted val="0"/>
    <c:plotArea>
      <c:layout/>
      <c:pieChart>
        <c:varyColors val="1"/>
        <c:ser>
          <c:idx val="0"/>
          <c:order val="0"/>
          <c:dLbls>
            <c:txPr>
              <a:bodyPr/>
              <a:lstStyle/>
              <a:p>
                <a:pPr>
                  <a:defRPr sz="1100" b="1">
                    <a:latin typeface="Times New Roman"/>
                    <a:cs typeface="Times New Roman"/>
                  </a:defRPr>
                </a:pPr>
                <a:endParaRPr lang="en-US"/>
              </a:p>
            </c:txPr>
            <c:showLegendKey val="0"/>
            <c:showVal val="0"/>
            <c:showCatName val="1"/>
            <c:showSerName val="0"/>
            <c:showPercent val="1"/>
            <c:showBubbleSize val="0"/>
            <c:showLeaderLines val="1"/>
          </c:dLbls>
          <c:cat>
            <c:strRef>
              <c:f>Sheet2!$D$42:$D$45</c:f>
              <c:strCache>
                <c:ptCount val="4"/>
                <c:pt idx="0">
                  <c:v>28-Day</c:v>
                </c:pt>
                <c:pt idx="1">
                  <c:v>63-Day</c:v>
                </c:pt>
                <c:pt idx="2">
                  <c:v>91-Day</c:v>
                </c:pt>
                <c:pt idx="3">
                  <c:v>182-day</c:v>
                </c:pt>
              </c:strCache>
            </c:strRef>
          </c:cat>
          <c:val>
            <c:numRef>
              <c:f>Sheet2!$E$42:$E$45</c:f>
              <c:numCache>
                <c:formatCode>General</c:formatCode>
                <c:ptCount val="4"/>
                <c:pt idx="0">
                  <c:v>1067.0</c:v>
                </c:pt>
                <c:pt idx="1">
                  <c:v>568.0</c:v>
                </c:pt>
                <c:pt idx="2">
                  <c:v>644.0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solidFill>
        <a:schemeClr val="tx1"/>
      </a:solidFill>
    </a:ln>
    <a:scene3d>
      <a:camera prst="orthographicFront"/>
      <a:lightRig rig="threePt" dir="t"/>
    </a:scene3d>
    <a:sp3d>
      <a:bevelT/>
      <a:bevelB/>
    </a:sp3d>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sz="1100"/>
            </a:pPr>
            <a:r>
              <a:rPr lang="en-US" sz="1000">
                <a:latin typeface="Times New Roman"/>
                <a:cs typeface="Times New Roman"/>
              </a:rPr>
              <a:t>Domestic</a:t>
            </a:r>
            <a:r>
              <a:rPr lang="en-US" sz="1000" baseline="0">
                <a:latin typeface="Times New Roman"/>
                <a:cs typeface="Times New Roman"/>
              </a:rPr>
              <a:t> Government Debt Classified by</a:t>
            </a:r>
          </a:p>
          <a:p>
            <a:pPr algn="ctr">
              <a:defRPr sz="1100"/>
            </a:pPr>
            <a:r>
              <a:rPr lang="en-US" sz="1000" baseline="0">
                <a:latin typeface="Times New Roman"/>
                <a:cs typeface="Times New Roman"/>
              </a:rPr>
              <a:t>Holder (Dec 2014)</a:t>
            </a:r>
            <a:endParaRPr lang="en-US" sz="1000">
              <a:latin typeface="Times New Roman"/>
              <a:cs typeface="Times New Roman"/>
            </a:endParaRPr>
          </a:p>
        </c:rich>
      </c:tx>
      <c:layout>
        <c:manualLayout>
          <c:xMode val="edge"/>
          <c:yMode val="edge"/>
          <c:x val="0.196032333102985"/>
          <c:y val="0.00379816653353113"/>
        </c:manualLayout>
      </c:layout>
      <c:overlay val="0"/>
    </c:title>
    <c:autoTitleDeleted val="0"/>
    <c:plotArea>
      <c:layout>
        <c:manualLayout>
          <c:layoutTarget val="inner"/>
          <c:xMode val="edge"/>
          <c:yMode val="edge"/>
          <c:x val="0.0928914803241646"/>
          <c:y val="0.257770760799204"/>
          <c:w val="0.814217039351671"/>
          <c:h val="0.629835785296522"/>
        </c:manualLayout>
      </c:layout>
      <c:pieChart>
        <c:varyColors val="1"/>
        <c:ser>
          <c:idx val="0"/>
          <c:order val="0"/>
          <c:dPt>
            <c:idx val="1"/>
            <c:bubble3D val="0"/>
            <c:spPr>
              <a:solidFill>
                <a:schemeClr val="accent2"/>
              </a:solidFill>
            </c:spPr>
          </c:dPt>
          <c:dPt>
            <c:idx val="2"/>
            <c:bubble3D val="0"/>
            <c:spPr>
              <a:solidFill>
                <a:srgbClr val="FFC000"/>
              </a:solidFill>
            </c:spPr>
          </c:dPt>
          <c:dLbls>
            <c:dLbl>
              <c:idx val="0"/>
              <c:layout>
                <c:manualLayout>
                  <c:x val="0.0766135954153162"/>
                  <c:y val="0.0732496481418083"/>
                </c:manualLayout>
              </c:layout>
              <c:tx>
                <c:rich>
                  <a:bodyPr/>
                  <a:lstStyle/>
                  <a:p>
                    <a:r>
                      <a:rPr lang="en-US" sz="1000">
                        <a:latin typeface="Times New Roman"/>
                        <a:cs typeface="Times New Roman"/>
                      </a:rPr>
                      <a:t>BPNG
22%</a:t>
                    </a:r>
                    <a:endParaRPr lang="en-US" sz="1000"/>
                  </a:p>
                </c:rich>
              </c:tx>
              <c:showLegendKey val="0"/>
              <c:showVal val="0"/>
              <c:showCatName val="1"/>
              <c:showSerName val="0"/>
              <c:showPercent val="1"/>
              <c:showBubbleSize val="0"/>
            </c:dLbl>
            <c:dLbl>
              <c:idx val="1"/>
              <c:layout>
                <c:manualLayout>
                  <c:x val="-0.0612510324321348"/>
                  <c:y val="-0.222103884158714"/>
                </c:manualLayout>
              </c:layout>
              <c:tx>
                <c:rich>
                  <a:bodyPr/>
                  <a:lstStyle/>
                  <a:p>
                    <a:r>
                      <a:rPr lang="en-US">
                        <a:latin typeface="Times New Roman"/>
                        <a:cs typeface="Times New Roman"/>
                      </a:rPr>
                      <a:t>Com</a:t>
                    </a:r>
                    <a:r>
                      <a:rPr lang="en-US" baseline="0">
                        <a:latin typeface="Times New Roman"/>
                        <a:cs typeface="Times New Roman"/>
                      </a:rPr>
                      <a:t> Banks</a:t>
                    </a:r>
                    <a:r>
                      <a:rPr lang="en-US">
                        <a:latin typeface="Times New Roman"/>
                        <a:cs typeface="Times New Roman"/>
                      </a:rPr>
                      <a:t>
49%</a:t>
                    </a:r>
                    <a:endParaRPr lang="en-US"/>
                  </a:p>
                </c:rich>
              </c:tx>
              <c:showLegendKey val="0"/>
              <c:showVal val="0"/>
              <c:showCatName val="1"/>
              <c:showSerName val="0"/>
              <c:showPercent val="1"/>
              <c:showBubbleSize val="0"/>
            </c:dLbl>
            <c:dLbl>
              <c:idx val="2"/>
              <c:layout>
                <c:manualLayout>
                  <c:x val="-0.0241450238300632"/>
                  <c:y val="0.000438133477748911"/>
                </c:manualLayout>
              </c:layout>
              <c:tx>
                <c:rich>
                  <a:bodyPr/>
                  <a:lstStyle/>
                  <a:p>
                    <a:r>
                      <a:rPr lang="en-US">
                        <a:latin typeface="Times New Roman"/>
                        <a:cs typeface="Times New Roman"/>
                      </a:rPr>
                      <a:t>SuperFunds
18%</a:t>
                    </a:r>
                    <a:endParaRPr lang="en-US"/>
                  </a:p>
                </c:rich>
              </c:tx>
              <c:showLegendKey val="0"/>
              <c:showVal val="0"/>
              <c:showCatName val="1"/>
              <c:showSerName val="0"/>
              <c:showPercent val="1"/>
              <c:showBubbleSize val="0"/>
            </c:dLbl>
            <c:dLbl>
              <c:idx val="3"/>
              <c:layout>
                <c:manualLayout>
                  <c:x val="-0.04680261121206"/>
                  <c:y val="0.0210635430773237"/>
                </c:manualLayout>
              </c:layout>
              <c:tx>
                <c:rich>
                  <a:bodyPr/>
                  <a:lstStyle/>
                  <a:p>
                    <a:r>
                      <a:rPr lang="en-US"/>
                      <a:t>Others
8%</a:t>
                    </a:r>
                  </a:p>
                </c:rich>
              </c:tx>
              <c:showLegendKey val="0"/>
              <c:showVal val="0"/>
              <c:showCatName val="1"/>
              <c:showSerName val="0"/>
              <c:showPercent val="1"/>
              <c:showBubbleSize val="0"/>
            </c:dLbl>
            <c:dLbl>
              <c:idx val="4"/>
              <c:layout>
                <c:manualLayout>
                  <c:x val="0.153405787585424"/>
                  <c:y val="0.0174076609988969"/>
                </c:manualLayout>
              </c:layout>
              <c:tx>
                <c:rich>
                  <a:bodyPr/>
                  <a:lstStyle/>
                  <a:p>
                    <a:r>
                      <a:rPr lang="en-US"/>
                      <a:t>Fin</a:t>
                    </a:r>
                    <a:r>
                      <a:rPr lang="en-US" baseline="0"/>
                      <a:t> Cos</a:t>
                    </a:r>
                    <a:r>
                      <a:rPr lang="en-US"/>
                      <a:t>
3%</a:t>
                    </a:r>
                  </a:p>
                </c:rich>
              </c:tx>
              <c:showLegendKey val="0"/>
              <c:showVal val="0"/>
              <c:showCatName val="1"/>
              <c:showSerName val="0"/>
              <c:showPercent val="1"/>
              <c:showBubbleSize val="0"/>
            </c:dLbl>
            <c:dLbl>
              <c:idx val="5"/>
              <c:layout>
                <c:manualLayout>
                  <c:x val="0.0290997114548291"/>
                  <c:y val="-0.0388556448929837"/>
                </c:manualLayout>
              </c:layout>
              <c:tx>
                <c:rich>
                  <a:bodyPr/>
                  <a:lstStyle/>
                  <a:p>
                    <a:r>
                      <a:rPr lang="en-US">
                        <a:latin typeface="Times New Roman"/>
                        <a:cs typeface="Times New Roman"/>
                      </a:rPr>
                      <a:t>other</a:t>
                    </a:r>
                    <a:r>
                      <a:rPr lang="en-US" baseline="0">
                        <a:latin typeface="Times New Roman"/>
                        <a:cs typeface="Times New Roman"/>
                      </a:rPr>
                      <a:t> </a:t>
                    </a:r>
                    <a:r>
                      <a:rPr lang="en-US" sz="900">
                        <a:latin typeface="Times New Roman"/>
                        <a:cs typeface="Times New Roman"/>
                      </a:rPr>
                      <a:t>(2)</a:t>
                    </a:r>
                    <a:r>
                      <a:rPr lang="en-US" sz="900" baseline="0">
                        <a:latin typeface="Times New Roman"/>
                        <a:cs typeface="Times New Roman"/>
                      </a:rPr>
                      <a:t> 6</a:t>
                    </a:r>
                    <a:r>
                      <a:rPr lang="en-US">
                        <a:latin typeface="Times New Roman"/>
                        <a:cs typeface="Times New Roman"/>
                      </a:rPr>
                      <a:t>%</a:t>
                    </a:r>
                    <a:endParaRPr lang="en-US"/>
                  </a:p>
                </c:rich>
              </c:tx>
              <c:showLegendKey val="0"/>
              <c:showVal val="0"/>
              <c:showCatName val="1"/>
              <c:showSerName val="0"/>
              <c:showPercent val="1"/>
              <c:showBubbleSize val="0"/>
            </c:dLbl>
            <c:txPr>
              <a:bodyPr/>
              <a:lstStyle/>
              <a:p>
                <a:pPr>
                  <a:defRPr sz="1000" b="1">
                    <a:latin typeface="Times New Roman"/>
                    <a:cs typeface="Times New Roman"/>
                  </a:defRPr>
                </a:pPr>
                <a:endParaRPr lang="en-US"/>
              </a:p>
            </c:txPr>
            <c:showLegendKey val="0"/>
            <c:showVal val="0"/>
            <c:showCatName val="1"/>
            <c:showSerName val="0"/>
            <c:showPercent val="1"/>
            <c:showBubbleSize val="0"/>
            <c:showLeaderLines val="1"/>
          </c:dLbls>
          <c:val>
            <c:numRef>
              <c:f>[1]Sheet2!$G$14:$K$14</c:f>
              <c:numCache>
                <c:formatCode>0.0</c:formatCode>
                <c:ptCount val="5"/>
                <c:pt idx="0">
                  <c:v>2696.0</c:v>
                </c:pt>
                <c:pt idx="1">
                  <c:v>5941.0</c:v>
                </c:pt>
                <c:pt idx="2">
                  <c:v>2176.0</c:v>
                </c:pt>
                <c:pt idx="3">
                  <c:v>1000.0</c:v>
                </c:pt>
                <c:pt idx="4">
                  <c:v>304.0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noFill/>
    <a:ln w="25400" cmpd="dbl">
      <a:solidFill>
        <a:sysClr val="windowText" lastClr="000000"/>
      </a:solidFill>
    </a:ln>
    <a:scene3d>
      <a:camera prst="orthographicFront"/>
      <a:lightRig rig="threePt" dir="t"/>
    </a:scene3d>
    <a:sp3d/>
  </c:spPr>
  <c:txPr>
    <a:bodyPr/>
    <a:lstStyle/>
    <a:p>
      <a:pPr algn="ctr">
        <a:defRPr>
          <a:latin typeface="Arial" pitchFamily="34" charset="0"/>
          <a:cs typeface="Arial"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35428149606299"/>
          <c:y val="0.141615059793923"/>
          <c:w val="0.841423702245553"/>
          <c:h val="0.557353568918981"/>
        </c:manualLayout>
      </c:layout>
      <c:bar3DChart>
        <c:barDir val="col"/>
        <c:grouping val="stacked"/>
        <c:varyColors val="0"/>
        <c:ser>
          <c:idx val="0"/>
          <c:order val="0"/>
          <c:tx>
            <c:strRef>
              <c:f>'Parliamentary Brief'!$B$191</c:f>
              <c:strCache>
                <c:ptCount val="1"/>
                <c:pt idx="0">
                  <c:v>Treasury Bills</c:v>
                </c:pt>
              </c:strCache>
            </c:strRef>
          </c:tx>
          <c:spPr>
            <a:solidFill>
              <a:schemeClr val="tx2">
                <a:lumMod val="60000"/>
                <a:lumOff val="40000"/>
              </a:schemeClr>
            </a:solidFill>
          </c:spPr>
          <c:invertIfNegative val="0"/>
          <c:cat>
            <c:strRef>
              <c:f>'Parliamentary Brief'!$C$190:$K$190</c:f>
              <c:strCache>
                <c:ptCount val="9"/>
                <c:pt idx="0">
                  <c:v>ANZ</c:v>
                </c:pt>
                <c:pt idx="1">
                  <c:v>BSP</c:v>
                </c:pt>
                <c:pt idx="2">
                  <c:v>Westpack</c:v>
                </c:pt>
                <c:pt idx="3">
                  <c:v>Maybank</c:v>
                </c:pt>
                <c:pt idx="4">
                  <c:v>BPNG</c:v>
                </c:pt>
                <c:pt idx="5">
                  <c:v>SuperFunds</c:v>
                </c:pt>
                <c:pt idx="6">
                  <c:v>Fin Cos</c:v>
                </c:pt>
                <c:pt idx="7">
                  <c:v>Church &amp; NGOs</c:v>
                </c:pt>
                <c:pt idx="8">
                  <c:v>Others</c:v>
                </c:pt>
              </c:strCache>
            </c:strRef>
          </c:cat>
          <c:val>
            <c:numRef>
              <c:f>'Parliamentary Brief'!$C$191:$K$191</c:f>
              <c:numCache>
                <c:formatCode>_(* #,##0.00_);_(* \(#,##0.00\);_(* "-"??_);_(@_)</c:formatCode>
                <c:ptCount val="9"/>
                <c:pt idx="0">
                  <c:v>977.8699999999974</c:v>
                </c:pt>
                <c:pt idx="1">
                  <c:v>1263.91</c:v>
                </c:pt>
                <c:pt idx="2">
                  <c:v>1046.38</c:v>
                </c:pt>
                <c:pt idx="3">
                  <c:v>166.71</c:v>
                </c:pt>
                <c:pt idx="4">
                  <c:v>1730.85</c:v>
                </c:pt>
                <c:pt idx="5">
                  <c:v>228.1</c:v>
                </c:pt>
                <c:pt idx="6">
                  <c:v>146.91</c:v>
                </c:pt>
                <c:pt idx="7">
                  <c:v>2.76</c:v>
                </c:pt>
                <c:pt idx="8">
                  <c:v>347.74</c:v>
                </c:pt>
              </c:numCache>
            </c:numRef>
          </c:val>
        </c:ser>
        <c:ser>
          <c:idx val="1"/>
          <c:order val="1"/>
          <c:tx>
            <c:strRef>
              <c:f>'Parliamentary Brief'!$B$192</c:f>
              <c:strCache>
                <c:ptCount val="1"/>
                <c:pt idx="0">
                  <c:v>Inscribed Stock</c:v>
                </c:pt>
              </c:strCache>
            </c:strRef>
          </c:tx>
          <c:spPr>
            <a:solidFill>
              <a:schemeClr val="accent2">
                <a:lumMod val="75000"/>
              </a:schemeClr>
            </a:solidFill>
          </c:spPr>
          <c:invertIfNegative val="0"/>
          <c:cat>
            <c:strRef>
              <c:f>'Parliamentary Brief'!$C$190:$K$190</c:f>
              <c:strCache>
                <c:ptCount val="9"/>
                <c:pt idx="0">
                  <c:v>ANZ</c:v>
                </c:pt>
                <c:pt idx="1">
                  <c:v>BSP</c:v>
                </c:pt>
                <c:pt idx="2">
                  <c:v>Westpack</c:v>
                </c:pt>
                <c:pt idx="3">
                  <c:v>Maybank</c:v>
                </c:pt>
                <c:pt idx="4">
                  <c:v>BPNG</c:v>
                </c:pt>
                <c:pt idx="5">
                  <c:v>SuperFunds</c:v>
                </c:pt>
                <c:pt idx="6">
                  <c:v>Fin Cos</c:v>
                </c:pt>
                <c:pt idx="7">
                  <c:v>Church &amp; NGOs</c:v>
                </c:pt>
                <c:pt idx="8">
                  <c:v>Others</c:v>
                </c:pt>
              </c:strCache>
            </c:strRef>
          </c:cat>
          <c:val>
            <c:numRef>
              <c:f>'Parliamentary Brief'!$C$192:$K$192</c:f>
              <c:numCache>
                <c:formatCode>_(* #,##0.00_);_(* \(#,##0.00\);_(* "-"??_);_(@_)</c:formatCode>
                <c:ptCount val="9"/>
                <c:pt idx="0">
                  <c:v>24.48</c:v>
                </c:pt>
                <c:pt idx="1">
                  <c:v>2175.99</c:v>
                </c:pt>
                <c:pt idx="2">
                  <c:v>285.2799999999999</c:v>
                </c:pt>
                <c:pt idx="3">
                  <c:v>0.0</c:v>
                </c:pt>
                <c:pt idx="4">
                  <c:v>965.3549999999979</c:v>
                </c:pt>
                <c:pt idx="5">
                  <c:v>1948.077</c:v>
                </c:pt>
                <c:pt idx="6">
                  <c:v>161.023</c:v>
                </c:pt>
                <c:pt idx="7">
                  <c:v>273.2749999999999</c:v>
                </c:pt>
                <c:pt idx="8">
                  <c:v>373.8600000000002</c:v>
                </c:pt>
              </c:numCache>
            </c:numRef>
          </c:val>
        </c:ser>
        <c:dLbls>
          <c:showLegendKey val="0"/>
          <c:showVal val="0"/>
          <c:showCatName val="0"/>
          <c:showSerName val="0"/>
          <c:showPercent val="0"/>
          <c:showBubbleSize val="0"/>
        </c:dLbls>
        <c:gapWidth val="150"/>
        <c:shape val="box"/>
        <c:axId val="2118073496"/>
        <c:axId val="2115331864"/>
        <c:axId val="0"/>
      </c:bar3DChart>
      <c:catAx>
        <c:axId val="2118073496"/>
        <c:scaling>
          <c:orientation val="minMax"/>
        </c:scaling>
        <c:delete val="0"/>
        <c:axPos val="b"/>
        <c:majorTickMark val="out"/>
        <c:minorTickMark val="none"/>
        <c:tickLblPos val="nextTo"/>
        <c:txPr>
          <a:bodyPr/>
          <a:lstStyle/>
          <a:p>
            <a:pPr>
              <a:defRPr sz="900" b="1">
                <a:latin typeface="Times New Roman"/>
                <a:cs typeface="Times New Roman"/>
              </a:defRPr>
            </a:pPr>
            <a:endParaRPr lang="en-US"/>
          </a:p>
        </c:txPr>
        <c:crossAx val="2115331864"/>
        <c:crosses val="autoZero"/>
        <c:auto val="1"/>
        <c:lblAlgn val="ctr"/>
        <c:lblOffset val="100"/>
        <c:noMultiLvlLbl val="0"/>
      </c:catAx>
      <c:valAx>
        <c:axId val="2115331864"/>
        <c:scaling>
          <c:orientation val="minMax"/>
        </c:scaling>
        <c:delete val="0"/>
        <c:axPos val="l"/>
        <c:majorGridlines/>
        <c:numFmt formatCode="_(* #,##0.00_);_(* \(#,##0.00\);_(* &quot;-&quot;??_);_(@_)" sourceLinked="1"/>
        <c:majorTickMark val="out"/>
        <c:minorTickMark val="none"/>
        <c:tickLblPos val="nextTo"/>
        <c:txPr>
          <a:bodyPr/>
          <a:lstStyle/>
          <a:p>
            <a:pPr>
              <a:defRPr b="1">
                <a:latin typeface="Times New Roman"/>
                <a:cs typeface="Times New Roman"/>
              </a:defRPr>
            </a:pPr>
            <a:endParaRPr lang="en-US"/>
          </a:p>
        </c:txPr>
        <c:crossAx val="2118073496"/>
        <c:crosses val="autoZero"/>
        <c:crossBetween val="between"/>
      </c:valAx>
    </c:plotArea>
    <c:legend>
      <c:legendPos val="t"/>
      <c:layout/>
      <c:overlay val="0"/>
      <c:txPr>
        <a:bodyPr/>
        <a:lstStyle/>
        <a:p>
          <a:pPr>
            <a:defRPr b="1">
              <a:latin typeface="Times New Roman"/>
              <a:cs typeface="Times New Roman"/>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accent2">
                    <a:lumMod val="75000"/>
                  </a:schemeClr>
                </a:solidFill>
              </a:defRPr>
            </a:pPr>
            <a:r>
              <a:rPr lang="en-AU" sz="1400" b="1" i="0">
                <a:solidFill>
                  <a:schemeClr val="tx1"/>
                </a:solidFill>
                <a:latin typeface="Times New Roman"/>
                <a:cs typeface="Times New Roman"/>
              </a:rPr>
              <a:t>Holdings</a:t>
            </a:r>
            <a:r>
              <a:rPr lang="en-AU" sz="1400" b="1" i="0" baseline="0">
                <a:solidFill>
                  <a:schemeClr val="tx1"/>
                </a:solidFill>
                <a:latin typeface="Times New Roman"/>
                <a:cs typeface="Times New Roman"/>
              </a:rPr>
              <a:t> of CBB</a:t>
            </a:r>
            <a:endParaRPr lang="en-AU" sz="1400" b="1" i="0">
              <a:solidFill>
                <a:schemeClr val="tx1"/>
              </a:solidFill>
              <a:latin typeface="Times New Roman"/>
              <a:cs typeface="Times New Roman"/>
            </a:endParaRPr>
          </a:p>
        </c:rich>
      </c:tx>
      <c:layout/>
      <c:overlay val="0"/>
    </c:title>
    <c:autoTitleDeleted val="0"/>
    <c:plotArea>
      <c:layout>
        <c:manualLayout>
          <c:layoutTarget val="inner"/>
          <c:xMode val="edge"/>
          <c:yMode val="edge"/>
          <c:x val="0.123183070866142"/>
          <c:y val="0.194803514144065"/>
          <c:w val="0.843373578302712"/>
          <c:h val="0.634280037911928"/>
        </c:manualLayout>
      </c:layout>
      <c:barChart>
        <c:barDir val="col"/>
        <c:grouping val="clustered"/>
        <c:varyColors val="0"/>
        <c:ser>
          <c:idx val="0"/>
          <c:order val="0"/>
          <c:tx>
            <c:strRef>
              <c:f>'Exposure-Current'!$E$4</c:f>
              <c:strCache>
                <c:ptCount val="1"/>
                <c:pt idx="0">
                  <c:v>CBB Total</c:v>
                </c:pt>
              </c:strCache>
            </c:strRef>
          </c:tx>
          <c:spPr>
            <a:solidFill>
              <a:schemeClr val="accent2">
                <a:lumMod val="50000"/>
              </a:schemeClr>
            </a:solidFill>
          </c:spPr>
          <c:invertIfNegative val="0"/>
          <c:cat>
            <c:strRef>
              <c:f>'Exposure-Current'!$A$6:$A$11</c:f>
              <c:strCache>
                <c:ptCount val="6"/>
                <c:pt idx="0">
                  <c:v>BSP</c:v>
                </c:pt>
                <c:pt idx="1">
                  <c:v>ANZ</c:v>
                </c:pt>
                <c:pt idx="2">
                  <c:v>Wpac</c:v>
                </c:pt>
                <c:pt idx="3">
                  <c:v>Mbank</c:v>
                </c:pt>
                <c:pt idx="4">
                  <c:v>Finance Com</c:v>
                </c:pt>
                <c:pt idx="5">
                  <c:v>Others </c:v>
                </c:pt>
              </c:strCache>
            </c:strRef>
          </c:cat>
          <c:val>
            <c:numRef>
              <c:f>'Exposure-Current'!$E$6:$E$11</c:f>
              <c:numCache>
                <c:formatCode>#,##0.0_ ;\-#,##0.0\ </c:formatCode>
                <c:ptCount val="6"/>
                <c:pt idx="0">
                  <c:v>512.8</c:v>
                </c:pt>
                <c:pt idx="1">
                  <c:v>1451.6</c:v>
                </c:pt>
                <c:pt idx="2">
                  <c:v>329.9</c:v>
                </c:pt>
                <c:pt idx="3">
                  <c:v>227.4</c:v>
                </c:pt>
                <c:pt idx="4">
                  <c:v>112.5</c:v>
                </c:pt>
                <c:pt idx="5">
                  <c:v>43.149</c:v>
                </c:pt>
              </c:numCache>
            </c:numRef>
          </c:val>
        </c:ser>
        <c:dLbls>
          <c:showLegendKey val="0"/>
          <c:showVal val="0"/>
          <c:showCatName val="0"/>
          <c:showSerName val="0"/>
          <c:showPercent val="0"/>
          <c:showBubbleSize val="0"/>
        </c:dLbls>
        <c:gapWidth val="150"/>
        <c:axId val="2113953112"/>
        <c:axId val="2115790888"/>
      </c:barChart>
      <c:catAx>
        <c:axId val="2113953112"/>
        <c:scaling>
          <c:orientation val="minMax"/>
        </c:scaling>
        <c:delete val="0"/>
        <c:axPos val="b"/>
        <c:majorTickMark val="none"/>
        <c:minorTickMark val="none"/>
        <c:tickLblPos val="nextTo"/>
        <c:txPr>
          <a:bodyPr/>
          <a:lstStyle/>
          <a:p>
            <a:pPr>
              <a:defRPr b="1"/>
            </a:pPr>
            <a:endParaRPr lang="en-US"/>
          </a:p>
        </c:txPr>
        <c:crossAx val="2115790888"/>
        <c:crosses val="autoZero"/>
        <c:auto val="1"/>
        <c:lblAlgn val="ctr"/>
        <c:lblOffset val="100"/>
        <c:noMultiLvlLbl val="0"/>
      </c:catAx>
      <c:valAx>
        <c:axId val="2115790888"/>
        <c:scaling>
          <c:orientation val="minMax"/>
        </c:scaling>
        <c:delete val="0"/>
        <c:axPos val="l"/>
        <c:majorGridlines/>
        <c:title>
          <c:tx>
            <c:rich>
              <a:bodyPr rot="0" vert="horz"/>
              <a:lstStyle/>
              <a:p>
                <a:pPr>
                  <a:defRPr/>
                </a:pPr>
                <a:r>
                  <a:rPr lang="en-AU"/>
                  <a:t>K'm</a:t>
                </a:r>
              </a:p>
            </c:rich>
          </c:tx>
          <c:layout>
            <c:manualLayout>
              <c:xMode val="edge"/>
              <c:yMode val="edge"/>
              <c:x val="0.00833333333333333"/>
              <c:y val="0.0878576115485564"/>
            </c:manualLayout>
          </c:layout>
          <c:overlay val="0"/>
        </c:title>
        <c:numFmt formatCode="#,##0.0_ ;\-#,##0.0\ " sourceLinked="1"/>
        <c:majorTickMark val="none"/>
        <c:minorTickMark val="none"/>
        <c:tickLblPos val="nextTo"/>
        <c:txPr>
          <a:bodyPr/>
          <a:lstStyle/>
          <a:p>
            <a:pPr>
              <a:defRPr b="1"/>
            </a:pPr>
            <a:endParaRPr lang="en-US"/>
          </a:p>
        </c:txPr>
        <c:crossAx val="21139531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03DB9-C235-9C46-B4F2-6EAF82E1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55</Pages>
  <Words>18017</Words>
  <Characters>102700</Characters>
  <Application>Microsoft Macintosh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29</cp:revision>
  <dcterms:created xsi:type="dcterms:W3CDTF">2015-08-06T16:28:00Z</dcterms:created>
  <dcterms:modified xsi:type="dcterms:W3CDTF">2015-10-05T04:00:00Z</dcterms:modified>
</cp:coreProperties>
</file>